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F2A" w:rsidRPr="001C3CF5" w:rsidRDefault="000D6F2A" w:rsidP="000D6F2A">
      <w:pPr>
        <w:pStyle w:val="Corpsdetexte"/>
        <w:kinsoku w:val="0"/>
        <w:overflowPunct w:val="0"/>
        <w:spacing w:before="2" w:line="242" w:lineRule="auto"/>
        <w:ind w:left="0" w:right="68"/>
        <w:jc w:val="center"/>
        <w:rPr>
          <w:rFonts w:ascii="Cooper Black" w:hAnsi="Cooper Black"/>
          <w:b/>
          <w:i/>
          <w:color w:val="00B0F0"/>
          <w:sz w:val="52"/>
          <w:szCs w:val="52"/>
          <w:lang w:val="fr-FR"/>
        </w:rPr>
      </w:pPr>
      <w:r w:rsidRPr="001C3CF5">
        <w:rPr>
          <w:rFonts w:ascii="Cooper Black" w:hAnsi="Cooper Black"/>
          <w:b/>
          <w:i/>
          <w:color w:val="00B0F0"/>
          <w:sz w:val="52"/>
          <w:szCs w:val="52"/>
          <w:lang w:val="fr-FR"/>
        </w:rPr>
        <w:t>L’inclusion. Entre injonction et participation ?</w:t>
      </w:r>
    </w:p>
    <w:p w:rsidR="00AE6308" w:rsidRDefault="00AE6308" w:rsidP="000D6F2A">
      <w:pPr>
        <w:jc w:val="center"/>
        <w:rPr>
          <w:b/>
          <w:i/>
          <w:color w:val="00B0F0"/>
          <w:sz w:val="40"/>
          <w:szCs w:val="40"/>
        </w:rPr>
      </w:pPr>
    </w:p>
    <w:p w:rsidR="000D6F2A" w:rsidRPr="001C3CF5" w:rsidRDefault="000D6F2A" w:rsidP="000D6F2A">
      <w:pPr>
        <w:jc w:val="center"/>
        <w:rPr>
          <w:b/>
          <w:i/>
          <w:color w:val="00B0F0"/>
          <w:sz w:val="40"/>
          <w:szCs w:val="40"/>
        </w:rPr>
      </w:pPr>
      <w:r w:rsidRPr="001C3CF5">
        <w:rPr>
          <w:b/>
          <w:i/>
          <w:color w:val="00B0F0"/>
          <w:sz w:val="40"/>
          <w:szCs w:val="40"/>
        </w:rPr>
        <w:t>Appel à communication – Colloque de REACTIFS</w:t>
      </w:r>
      <w:r w:rsidRPr="001C3CF5">
        <w:rPr>
          <w:rStyle w:val="Appelnotedebasdep"/>
          <w:i/>
          <w:color w:val="00B0F0"/>
          <w:sz w:val="40"/>
          <w:szCs w:val="40"/>
          <w:lang w:val="en-US"/>
        </w:rPr>
        <w:footnoteReference w:id="1"/>
      </w:r>
    </w:p>
    <w:p w:rsidR="000D6F2A" w:rsidRPr="001C3CF5" w:rsidRDefault="000D6F2A" w:rsidP="00AE6308">
      <w:pPr>
        <w:pStyle w:val="Sansinterligne"/>
        <w:jc w:val="center"/>
        <w:rPr>
          <w:b/>
          <w:i/>
          <w:color w:val="00B0F0"/>
          <w:sz w:val="36"/>
          <w:szCs w:val="36"/>
        </w:rPr>
      </w:pPr>
      <w:r w:rsidRPr="001C3CF5">
        <w:rPr>
          <w:b/>
          <w:i/>
          <w:color w:val="00B0F0"/>
          <w:sz w:val="36"/>
          <w:szCs w:val="36"/>
        </w:rPr>
        <w:t>22 et 23 Mars</w:t>
      </w:r>
      <w:r w:rsidR="00AE6308" w:rsidRPr="001C3CF5">
        <w:rPr>
          <w:b/>
          <w:i/>
          <w:color w:val="00B0F0"/>
          <w:sz w:val="36"/>
          <w:szCs w:val="36"/>
        </w:rPr>
        <w:t xml:space="preserve"> 2018</w:t>
      </w:r>
      <w:r w:rsidRPr="001C3CF5">
        <w:rPr>
          <w:b/>
          <w:i/>
          <w:color w:val="00B0F0"/>
          <w:sz w:val="36"/>
          <w:szCs w:val="36"/>
        </w:rPr>
        <w:t xml:space="preserve"> à Toulouse au CRFMS-ERASME, 134 Route d’</w:t>
      </w:r>
      <w:r w:rsidR="00AE6308" w:rsidRPr="001C3CF5">
        <w:rPr>
          <w:b/>
          <w:i/>
          <w:color w:val="00B0F0"/>
          <w:sz w:val="36"/>
          <w:szCs w:val="36"/>
        </w:rPr>
        <w:t>Espagne, 31100 Toulouse</w:t>
      </w:r>
    </w:p>
    <w:p w:rsidR="000D6F2A" w:rsidRPr="001C3CF5" w:rsidRDefault="000D6F2A" w:rsidP="000D6F2A">
      <w:pPr>
        <w:pStyle w:val="Sansinterligne"/>
        <w:jc w:val="both"/>
        <w:rPr>
          <w:i/>
          <w:sz w:val="36"/>
          <w:szCs w:val="36"/>
        </w:rPr>
      </w:pPr>
    </w:p>
    <w:p w:rsidR="000D6F2A" w:rsidRPr="006E1FBE" w:rsidRDefault="000D6F2A" w:rsidP="000D6F2A">
      <w:pPr>
        <w:pStyle w:val="Sansinterligne"/>
        <w:jc w:val="both"/>
        <w:rPr>
          <w:sz w:val="20"/>
          <w:szCs w:val="24"/>
        </w:rPr>
      </w:pPr>
    </w:p>
    <w:p w:rsidR="00AE6308" w:rsidRDefault="00AE6308" w:rsidP="000D6F2A">
      <w:pPr>
        <w:pStyle w:val="Sansinterligne"/>
        <w:jc w:val="both"/>
        <w:rPr>
          <w:sz w:val="24"/>
          <w:szCs w:val="24"/>
        </w:rPr>
      </w:pPr>
    </w:p>
    <w:p w:rsidR="00AE6308" w:rsidRDefault="00AE6308" w:rsidP="000D6F2A">
      <w:pPr>
        <w:pStyle w:val="Sansinterligne"/>
        <w:jc w:val="both"/>
        <w:rPr>
          <w:sz w:val="24"/>
          <w:szCs w:val="24"/>
        </w:rPr>
      </w:pPr>
    </w:p>
    <w:p w:rsidR="000D6F2A" w:rsidRPr="00D97C5B" w:rsidRDefault="000D6F2A" w:rsidP="000D6F2A">
      <w:pPr>
        <w:pStyle w:val="Sansinterligne"/>
        <w:jc w:val="both"/>
        <w:rPr>
          <w:sz w:val="24"/>
          <w:szCs w:val="24"/>
        </w:rPr>
      </w:pPr>
      <w:r w:rsidRPr="00D97C5B">
        <w:rPr>
          <w:sz w:val="24"/>
          <w:szCs w:val="24"/>
        </w:rPr>
        <w:t xml:space="preserve">Aujourd’hui la notion d’inclusion suscite de </w:t>
      </w:r>
      <w:r w:rsidR="00D84C61">
        <w:rPr>
          <w:sz w:val="24"/>
          <w:szCs w:val="24"/>
        </w:rPr>
        <w:t xml:space="preserve">nombreux </w:t>
      </w:r>
      <w:bookmarkStart w:id="0" w:name="_GoBack"/>
      <w:bookmarkEnd w:id="0"/>
      <w:r w:rsidRPr="00D97C5B">
        <w:rPr>
          <w:sz w:val="24"/>
          <w:szCs w:val="24"/>
        </w:rPr>
        <w:t xml:space="preserve">débats. Alors même qu’elle se popularise dans différents registres, elle </w:t>
      </w:r>
      <w:r w:rsidR="006A14EE">
        <w:rPr>
          <w:sz w:val="24"/>
          <w:szCs w:val="24"/>
        </w:rPr>
        <w:t xml:space="preserve">ne </w:t>
      </w:r>
      <w:r w:rsidRPr="00D97C5B">
        <w:rPr>
          <w:sz w:val="24"/>
          <w:szCs w:val="24"/>
        </w:rPr>
        <w:t>s</w:t>
      </w:r>
      <w:r w:rsidR="006A14EE">
        <w:rPr>
          <w:sz w:val="24"/>
          <w:szCs w:val="24"/>
        </w:rPr>
        <w:t>’en</w:t>
      </w:r>
      <w:r w:rsidRPr="00D97C5B">
        <w:rPr>
          <w:sz w:val="24"/>
          <w:szCs w:val="24"/>
        </w:rPr>
        <w:t xml:space="preserve"> rattache </w:t>
      </w:r>
      <w:r w:rsidR="006A14EE">
        <w:rPr>
          <w:sz w:val="24"/>
          <w:szCs w:val="24"/>
        </w:rPr>
        <w:t xml:space="preserve">pas moins </w:t>
      </w:r>
      <w:r w:rsidRPr="00D97C5B">
        <w:rPr>
          <w:sz w:val="24"/>
          <w:szCs w:val="24"/>
        </w:rPr>
        <w:t xml:space="preserve">à de multiples références. </w:t>
      </w:r>
      <w:r w:rsidR="000B2513">
        <w:rPr>
          <w:sz w:val="24"/>
          <w:szCs w:val="24"/>
        </w:rPr>
        <w:t>Ainsi, si l</w:t>
      </w:r>
      <w:r w:rsidRPr="00D97C5B">
        <w:rPr>
          <w:sz w:val="24"/>
          <w:szCs w:val="24"/>
        </w:rPr>
        <w:t xml:space="preserve">e sociologue </w:t>
      </w:r>
      <w:proofErr w:type="spellStart"/>
      <w:r w:rsidRPr="00D97C5B">
        <w:rPr>
          <w:sz w:val="24"/>
          <w:szCs w:val="24"/>
        </w:rPr>
        <w:t>Niklas</w:t>
      </w:r>
      <w:proofErr w:type="spellEnd"/>
      <w:r w:rsidRPr="00D97C5B">
        <w:rPr>
          <w:sz w:val="24"/>
          <w:szCs w:val="24"/>
        </w:rPr>
        <w:t xml:space="preserve"> </w:t>
      </w:r>
      <w:proofErr w:type="spellStart"/>
      <w:r w:rsidRPr="00D97C5B">
        <w:rPr>
          <w:sz w:val="24"/>
          <w:szCs w:val="24"/>
        </w:rPr>
        <w:t>Luhmann</w:t>
      </w:r>
      <w:proofErr w:type="spellEnd"/>
      <w:r w:rsidRPr="00D97C5B">
        <w:rPr>
          <w:rStyle w:val="Appelnotedebasdep"/>
          <w:sz w:val="24"/>
          <w:szCs w:val="24"/>
        </w:rPr>
        <w:footnoteReference w:id="2"/>
      </w:r>
      <w:r w:rsidRPr="00D97C5B">
        <w:rPr>
          <w:sz w:val="24"/>
          <w:szCs w:val="24"/>
        </w:rPr>
        <w:t xml:space="preserve"> appréhende l’inclusion comme les rapports entre les individus et les systèmes sociaux</w:t>
      </w:r>
      <w:r w:rsidR="000B2513">
        <w:rPr>
          <w:sz w:val="24"/>
          <w:szCs w:val="24"/>
        </w:rPr>
        <w:t>, le Nobel d’</w:t>
      </w:r>
      <w:proofErr w:type="spellStart"/>
      <w:r w:rsidR="000B2513">
        <w:rPr>
          <w:sz w:val="24"/>
          <w:szCs w:val="24"/>
        </w:rPr>
        <w:t>economie</w:t>
      </w:r>
      <w:proofErr w:type="spellEnd"/>
      <w:r w:rsidR="000B2513">
        <w:rPr>
          <w:sz w:val="24"/>
          <w:szCs w:val="24"/>
        </w:rPr>
        <w:t xml:space="preserve"> </w:t>
      </w:r>
      <w:r w:rsidRPr="00D97C5B">
        <w:rPr>
          <w:sz w:val="24"/>
          <w:szCs w:val="24"/>
        </w:rPr>
        <w:t xml:space="preserve"> </w:t>
      </w:r>
      <w:proofErr w:type="spellStart"/>
      <w:r w:rsidRPr="00D97C5B">
        <w:rPr>
          <w:sz w:val="24"/>
          <w:szCs w:val="24"/>
        </w:rPr>
        <w:t>Amartya</w:t>
      </w:r>
      <w:proofErr w:type="spellEnd"/>
      <w:r w:rsidRPr="00D97C5B">
        <w:rPr>
          <w:rFonts w:cs="Calibri Light"/>
          <w:sz w:val="24"/>
          <w:szCs w:val="24"/>
        </w:rPr>
        <w:t xml:space="preserve"> Sen</w:t>
      </w:r>
      <w:r w:rsidR="000B2513">
        <w:rPr>
          <w:rFonts w:cs="Calibri Light"/>
          <w:sz w:val="24"/>
          <w:szCs w:val="24"/>
        </w:rPr>
        <w:t xml:space="preserve"> la définit pour sa part </w:t>
      </w:r>
      <w:r w:rsidRPr="00D97C5B">
        <w:rPr>
          <w:sz w:val="24"/>
          <w:szCs w:val="24"/>
        </w:rPr>
        <w:t>« par l’expérience sociale largement partagée et la participation active d’une société ; par l’égalité généralisée des possibilités et des chances de la vie qui s’offrent aux gens sur le plan individuel ; par l’atteinte d’un niveau de bien-être élémentaire pour tous les citoyens »</w:t>
      </w:r>
      <w:r w:rsidRPr="00D97C5B">
        <w:rPr>
          <w:rStyle w:val="Appelnotedebasdep"/>
          <w:sz w:val="24"/>
          <w:szCs w:val="24"/>
        </w:rPr>
        <w:footnoteReference w:id="3"/>
      </w:r>
      <w:r w:rsidRPr="00D97C5B">
        <w:rPr>
          <w:sz w:val="24"/>
          <w:szCs w:val="24"/>
        </w:rPr>
        <w:t>. On retrouve l’esprit de cette définition à travers celle proposée par la</w:t>
      </w:r>
      <w:r w:rsidRPr="00D97C5B">
        <w:rPr>
          <w:rStyle w:val="lev"/>
          <w:bCs/>
          <w:sz w:val="24"/>
          <w:szCs w:val="24"/>
        </w:rPr>
        <w:t xml:space="preserve"> </w:t>
      </w:r>
      <w:r w:rsidRPr="008B5E97">
        <w:rPr>
          <w:rStyle w:val="lev"/>
          <w:b w:val="0"/>
          <w:bCs/>
          <w:sz w:val="24"/>
          <w:szCs w:val="24"/>
        </w:rPr>
        <w:t xml:space="preserve">commission européenne qui évoque </w:t>
      </w:r>
      <w:r w:rsidRPr="008B5E97">
        <w:rPr>
          <w:rStyle w:val="lev"/>
          <w:b w:val="0"/>
          <w:bCs/>
          <w:i/>
          <w:sz w:val="24"/>
          <w:szCs w:val="24"/>
        </w:rPr>
        <w:t>l</w:t>
      </w:r>
      <w:r w:rsidRPr="00D97C5B">
        <w:rPr>
          <w:i/>
          <w:sz w:val="24"/>
          <w:szCs w:val="24"/>
        </w:rPr>
        <w:t>’inclusion active</w:t>
      </w:r>
      <w:r w:rsidRPr="00D97C5B">
        <w:rPr>
          <w:sz w:val="24"/>
          <w:szCs w:val="24"/>
        </w:rPr>
        <w:t xml:space="preserve"> permettant « à chaque citoyen, y compris aux plus défavorisés, de participer pleinement à la société, et notamment d’exercer un emploi. ».  </w:t>
      </w:r>
    </w:p>
    <w:p w:rsidR="000D6F2A" w:rsidRPr="00D97C5B" w:rsidRDefault="000D6F2A" w:rsidP="000D6F2A">
      <w:pPr>
        <w:spacing w:after="0" w:line="240" w:lineRule="auto"/>
        <w:jc w:val="both"/>
        <w:rPr>
          <w:sz w:val="24"/>
          <w:szCs w:val="24"/>
          <w:lang w:eastAsia="fr-FR"/>
        </w:rPr>
      </w:pPr>
    </w:p>
    <w:p w:rsidR="000D6F2A" w:rsidRPr="00D97C5B" w:rsidRDefault="000D6F2A" w:rsidP="000D6F2A">
      <w:pPr>
        <w:spacing w:line="240" w:lineRule="auto"/>
        <w:jc w:val="both"/>
        <w:rPr>
          <w:sz w:val="24"/>
          <w:szCs w:val="24"/>
        </w:rPr>
      </w:pPr>
      <w:r w:rsidRPr="00D97C5B">
        <w:rPr>
          <w:sz w:val="24"/>
          <w:szCs w:val="24"/>
        </w:rPr>
        <w:t xml:space="preserve">A partir de la pluralité des définitions, l’objectif de ce colloque vise à interroger l’inclusion, ses leviers, mais aussi ses obstacles et ses enjeux, dans la perspective d’un triple niveau d’analyse : </w:t>
      </w:r>
    </w:p>
    <w:p w:rsidR="000D6F2A" w:rsidRPr="00D97C5B" w:rsidRDefault="000D6F2A" w:rsidP="000D6F2A">
      <w:pPr>
        <w:pStyle w:val="Paragraphedeliste"/>
        <w:numPr>
          <w:ilvl w:val="0"/>
          <w:numId w:val="1"/>
        </w:numPr>
        <w:spacing w:after="0" w:line="240" w:lineRule="auto"/>
        <w:jc w:val="both"/>
        <w:rPr>
          <w:sz w:val="24"/>
          <w:szCs w:val="24"/>
        </w:rPr>
      </w:pPr>
      <w:r w:rsidRPr="00D97C5B">
        <w:rPr>
          <w:sz w:val="24"/>
          <w:szCs w:val="24"/>
        </w:rPr>
        <w:t xml:space="preserve">Le niveau </w:t>
      </w:r>
      <w:r w:rsidRPr="00D97C5B">
        <w:rPr>
          <w:i/>
          <w:sz w:val="24"/>
          <w:szCs w:val="24"/>
        </w:rPr>
        <w:t>macro</w:t>
      </w:r>
      <w:r w:rsidRPr="00D97C5B">
        <w:rPr>
          <w:sz w:val="24"/>
          <w:szCs w:val="24"/>
        </w:rPr>
        <w:t xml:space="preserve"> concerne les politiques sociales dans leurs dimensions nationales et internationales </w:t>
      </w:r>
    </w:p>
    <w:p w:rsidR="000D6F2A" w:rsidRPr="00D97C5B" w:rsidRDefault="000D6F2A" w:rsidP="000D6F2A">
      <w:pPr>
        <w:pStyle w:val="Paragraphedeliste"/>
        <w:numPr>
          <w:ilvl w:val="0"/>
          <w:numId w:val="1"/>
        </w:numPr>
        <w:spacing w:after="0" w:line="240" w:lineRule="auto"/>
        <w:jc w:val="both"/>
        <w:rPr>
          <w:sz w:val="24"/>
          <w:szCs w:val="24"/>
        </w:rPr>
      </w:pPr>
      <w:r w:rsidRPr="00D97C5B">
        <w:rPr>
          <w:sz w:val="24"/>
          <w:szCs w:val="24"/>
        </w:rPr>
        <w:t xml:space="preserve">Le niveau </w:t>
      </w:r>
      <w:r w:rsidRPr="00D97C5B">
        <w:rPr>
          <w:i/>
          <w:sz w:val="24"/>
          <w:szCs w:val="24"/>
        </w:rPr>
        <w:t>méso</w:t>
      </w:r>
      <w:r w:rsidRPr="00D97C5B">
        <w:rPr>
          <w:sz w:val="24"/>
          <w:szCs w:val="24"/>
        </w:rPr>
        <w:t xml:space="preserve"> relatif aux institutions et à leurs modalités de création et de (ré</w:t>
      </w:r>
      <w:proofErr w:type="gramStart"/>
      <w:r w:rsidRPr="00D97C5B">
        <w:rPr>
          <w:sz w:val="24"/>
          <w:szCs w:val="24"/>
        </w:rPr>
        <w:t>)activation</w:t>
      </w:r>
      <w:proofErr w:type="gramEnd"/>
      <w:r w:rsidRPr="00D97C5B">
        <w:rPr>
          <w:sz w:val="24"/>
          <w:szCs w:val="24"/>
        </w:rPr>
        <w:t xml:space="preserve"> du lien social</w:t>
      </w:r>
    </w:p>
    <w:p w:rsidR="000D6F2A" w:rsidRPr="00D97C5B" w:rsidRDefault="000D6F2A" w:rsidP="000D6F2A">
      <w:pPr>
        <w:pStyle w:val="Paragraphedeliste"/>
        <w:numPr>
          <w:ilvl w:val="0"/>
          <w:numId w:val="1"/>
        </w:numPr>
        <w:spacing w:after="0" w:line="240" w:lineRule="auto"/>
        <w:jc w:val="both"/>
        <w:rPr>
          <w:sz w:val="24"/>
          <w:szCs w:val="24"/>
        </w:rPr>
      </w:pPr>
      <w:r w:rsidRPr="00D97C5B">
        <w:rPr>
          <w:sz w:val="24"/>
          <w:szCs w:val="24"/>
        </w:rPr>
        <w:t xml:space="preserve">Le niveau </w:t>
      </w:r>
      <w:r w:rsidRPr="00D97C5B">
        <w:rPr>
          <w:i/>
          <w:sz w:val="24"/>
          <w:szCs w:val="24"/>
        </w:rPr>
        <w:t>micro</w:t>
      </w:r>
      <w:r w:rsidRPr="00D97C5B">
        <w:rPr>
          <w:sz w:val="24"/>
          <w:szCs w:val="24"/>
        </w:rPr>
        <w:t xml:space="preserve"> s’intéresse aux individus et aux interactions mutuelles entre les professionnels et les personnes accompagnées</w:t>
      </w:r>
    </w:p>
    <w:p w:rsidR="000D6F2A" w:rsidRPr="00D97C5B" w:rsidRDefault="000D6F2A" w:rsidP="000D6F2A">
      <w:pPr>
        <w:pStyle w:val="Sansinterligne"/>
        <w:jc w:val="both"/>
        <w:rPr>
          <w:sz w:val="24"/>
          <w:szCs w:val="24"/>
        </w:rPr>
      </w:pPr>
    </w:p>
    <w:p w:rsidR="000D6F2A" w:rsidRPr="00D97C5B" w:rsidRDefault="000D6F2A" w:rsidP="000D6F2A">
      <w:pPr>
        <w:pStyle w:val="Sansinterligne"/>
        <w:jc w:val="both"/>
        <w:rPr>
          <w:sz w:val="24"/>
          <w:szCs w:val="24"/>
        </w:rPr>
      </w:pPr>
      <w:r w:rsidRPr="00D97C5B">
        <w:rPr>
          <w:sz w:val="24"/>
          <w:szCs w:val="24"/>
        </w:rPr>
        <w:t xml:space="preserve">Cette notion d’inclusion tend progressivement à s’imposer dans le langage public, scientifique et politique dans un contexte de changement des cadres économiques et environnementaux. </w:t>
      </w:r>
      <w:r w:rsidRPr="00D97C5B">
        <w:rPr>
          <w:sz w:val="24"/>
          <w:szCs w:val="24"/>
        </w:rPr>
        <w:lastRenderedPageBreak/>
        <w:t>Portée par de multiples textes internationaux et nationaux, elle invite à créer des dispositifs permettant une véritable participation des personnes.</w:t>
      </w:r>
    </w:p>
    <w:p w:rsidR="000D6F2A" w:rsidRPr="00D97C5B" w:rsidRDefault="000D6F2A" w:rsidP="000D6F2A">
      <w:pPr>
        <w:pStyle w:val="Sansinterligne"/>
        <w:jc w:val="both"/>
        <w:rPr>
          <w:sz w:val="24"/>
          <w:szCs w:val="24"/>
        </w:rPr>
      </w:pPr>
      <w:r w:rsidRPr="00D97C5B">
        <w:rPr>
          <w:sz w:val="24"/>
          <w:szCs w:val="24"/>
        </w:rPr>
        <w:t>L’inclusion fait également l’objet d’une double conception dans la recherche en sciences sociales. La première interroge l’autorité, la violence symbolique, la domination et les injonctions de participation. Cette approche questionne l’élaboration des normes et leur relativité, la violence institutionnelle ainsi que les logiques d’action derrière les principes normatifs. La seconde conception s’attache aux processus de participation, à l’émancipation, à la reconnaissance sociale des individus et des sociétés. Cette approche aborde les capabilités, les processus d’</w:t>
      </w:r>
      <w:proofErr w:type="spellStart"/>
      <w:r w:rsidRPr="00D97C5B">
        <w:rPr>
          <w:i/>
          <w:sz w:val="24"/>
          <w:szCs w:val="24"/>
        </w:rPr>
        <w:t>empowerment</w:t>
      </w:r>
      <w:proofErr w:type="spellEnd"/>
      <w:r w:rsidRPr="00D97C5B">
        <w:rPr>
          <w:sz w:val="24"/>
          <w:szCs w:val="24"/>
        </w:rPr>
        <w:t xml:space="preserve"> et l’égalité des chances. </w:t>
      </w:r>
    </w:p>
    <w:p w:rsidR="000D6F2A" w:rsidRPr="00D97C5B" w:rsidRDefault="000D6F2A" w:rsidP="000D6F2A">
      <w:pPr>
        <w:pStyle w:val="Sansinterligne"/>
        <w:jc w:val="both"/>
        <w:rPr>
          <w:sz w:val="24"/>
          <w:szCs w:val="24"/>
        </w:rPr>
      </w:pPr>
    </w:p>
    <w:p w:rsidR="000D6F2A" w:rsidRPr="00D97C5B" w:rsidRDefault="000D6F2A" w:rsidP="000D6F2A">
      <w:pPr>
        <w:pStyle w:val="Sansinterligne"/>
        <w:jc w:val="both"/>
        <w:rPr>
          <w:sz w:val="24"/>
          <w:szCs w:val="24"/>
        </w:rPr>
      </w:pPr>
      <w:r w:rsidRPr="00D97C5B">
        <w:rPr>
          <w:sz w:val="24"/>
          <w:szCs w:val="24"/>
        </w:rPr>
        <w:t xml:space="preserve">Les tensions et l’ambivalence relatives à l’inclusion peuvent être dépassées à partir d’une démarche collective tant théorique qu’empirique </w:t>
      </w:r>
      <w:r w:rsidR="00A76E27">
        <w:rPr>
          <w:sz w:val="24"/>
          <w:szCs w:val="24"/>
        </w:rPr>
        <w:t xml:space="preserve">en associant notamment </w:t>
      </w:r>
      <w:r w:rsidRPr="00D97C5B">
        <w:rPr>
          <w:sz w:val="24"/>
          <w:szCs w:val="24"/>
        </w:rPr>
        <w:t>l’expertise des personnes concernées. Il s’agi</w:t>
      </w:r>
      <w:r w:rsidR="00AC01CF">
        <w:rPr>
          <w:sz w:val="24"/>
          <w:szCs w:val="24"/>
        </w:rPr>
        <w:t>ra</w:t>
      </w:r>
      <w:r w:rsidRPr="00D97C5B">
        <w:rPr>
          <w:sz w:val="24"/>
          <w:szCs w:val="24"/>
        </w:rPr>
        <w:t xml:space="preserve"> de partir de travaux de recherche et d’expérimentations pour </w:t>
      </w:r>
      <w:proofErr w:type="spellStart"/>
      <w:r w:rsidRPr="00D97C5B">
        <w:rPr>
          <w:sz w:val="24"/>
          <w:szCs w:val="24"/>
        </w:rPr>
        <w:t>ré-interroger</w:t>
      </w:r>
      <w:proofErr w:type="spellEnd"/>
      <w:r w:rsidRPr="00D97C5B">
        <w:rPr>
          <w:sz w:val="24"/>
          <w:szCs w:val="24"/>
        </w:rPr>
        <w:t xml:space="preserve"> l’inclusion </w:t>
      </w:r>
      <w:r w:rsidR="00AC01CF">
        <w:rPr>
          <w:sz w:val="24"/>
          <w:szCs w:val="24"/>
        </w:rPr>
        <w:t xml:space="preserve">dans </w:t>
      </w:r>
      <w:r w:rsidRPr="00D97C5B">
        <w:rPr>
          <w:sz w:val="24"/>
          <w:szCs w:val="24"/>
        </w:rPr>
        <w:t xml:space="preserve">ses différentes dimensions. L’un des objectifs de ce colloque </w:t>
      </w:r>
      <w:r w:rsidR="00AC01CF">
        <w:rPr>
          <w:sz w:val="24"/>
          <w:szCs w:val="24"/>
        </w:rPr>
        <w:t>vise en effet à</w:t>
      </w:r>
      <w:r w:rsidRPr="00D97C5B">
        <w:rPr>
          <w:sz w:val="24"/>
          <w:szCs w:val="24"/>
        </w:rPr>
        <w:t xml:space="preserve"> proposer un espace d’échanges et de connaissances contribuant à valoriser des individus et des collectifs citoyens qui s’impliquent activement dans les diverses composantes de la vie en société. </w:t>
      </w:r>
    </w:p>
    <w:p w:rsidR="000D6F2A" w:rsidRPr="006E1FBE" w:rsidRDefault="000D6F2A" w:rsidP="000D6F2A">
      <w:pPr>
        <w:pStyle w:val="Sansinterligne"/>
        <w:jc w:val="both"/>
        <w:rPr>
          <w:szCs w:val="24"/>
        </w:rPr>
      </w:pPr>
    </w:p>
    <w:p w:rsidR="000D6F2A" w:rsidRPr="00883A78" w:rsidRDefault="000D6F2A" w:rsidP="000D6F2A">
      <w:pPr>
        <w:pStyle w:val="Titre3"/>
        <w:rPr>
          <w:sz w:val="28"/>
        </w:rPr>
      </w:pPr>
      <w:bookmarkStart w:id="1" w:name="_Toc494784148"/>
      <w:r w:rsidRPr="00883A78">
        <w:rPr>
          <w:sz w:val="28"/>
        </w:rPr>
        <w:t>Axes de communication</w:t>
      </w:r>
      <w:bookmarkEnd w:id="1"/>
    </w:p>
    <w:p w:rsidR="000D6F2A" w:rsidRPr="00D97C5B" w:rsidRDefault="000D6F2A" w:rsidP="000D6F2A">
      <w:pPr>
        <w:pStyle w:val="Sansinterligne"/>
        <w:jc w:val="both"/>
        <w:rPr>
          <w:rFonts w:cs="TimesNewRoman"/>
          <w:sz w:val="24"/>
          <w:szCs w:val="24"/>
        </w:rPr>
      </w:pPr>
      <w:r w:rsidRPr="00D97C5B">
        <w:rPr>
          <w:rFonts w:cs="TimesNewRoman"/>
          <w:sz w:val="24"/>
          <w:szCs w:val="24"/>
        </w:rPr>
        <w:t>Sans se focaliser sur un domaine ou un secteur précis de l’inclusion, le colloque se propose :</w:t>
      </w:r>
    </w:p>
    <w:p w:rsidR="000D6F2A" w:rsidRPr="00D97C5B" w:rsidRDefault="000D6F2A" w:rsidP="000D6F2A">
      <w:pPr>
        <w:pStyle w:val="Sansinterligne"/>
        <w:numPr>
          <w:ilvl w:val="0"/>
          <w:numId w:val="2"/>
        </w:numPr>
        <w:jc w:val="both"/>
        <w:rPr>
          <w:rFonts w:cs="TimesNewRoman"/>
          <w:sz w:val="24"/>
          <w:szCs w:val="24"/>
        </w:rPr>
      </w:pPr>
      <w:r w:rsidRPr="00D97C5B">
        <w:rPr>
          <w:rFonts w:cs="TimesNewRoman"/>
          <w:sz w:val="24"/>
          <w:szCs w:val="24"/>
        </w:rPr>
        <w:t xml:space="preserve">d’appréhender la diversité des expériences et des réflexions autour de ce thème pour en analyser leur déroulement et leurs résultats ; </w:t>
      </w:r>
    </w:p>
    <w:p w:rsidR="000D6F2A" w:rsidRPr="00D97C5B" w:rsidRDefault="000D6F2A" w:rsidP="000D6F2A">
      <w:pPr>
        <w:pStyle w:val="Sansinterligne"/>
        <w:numPr>
          <w:ilvl w:val="0"/>
          <w:numId w:val="2"/>
        </w:numPr>
        <w:jc w:val="both"/>
        <w:rPr>
          <w:rFonts w:cs="TimesNewRoman"/>
          <w:sz w:val="24"/>
          <w:szCs w:val="24"/>
        </w:rPr>
      </w:pPr>
      <w:r w:rsidRPr="00D97C5B">
        <w:rPr>
          <w:rFonts w:cs="TimesNewRoman"/>
          <w:sz w:val="24"/>
          <w:szCs w:val="24"/>
        </w:rPr>
        <w:t xml:space="preserve">d’étudier leurs effets sur l’action publique et les personnes concernées ; </w:t>
      </w:r>
    </w:p>
    <w:p w:rsidR="000D6F2A" w:rsidRPr="00D97C5B" w:rsidRDefault="000D6F2A" w:rsidP="000D6F2A">
      <w:pPr>
        <w:pStyle w:val="Sansinterligne"/>
        <w:numPr>
          <w:ilvl w:val="0"/>
          <w:numId w:val="2"/>
        </w:numPr>
        <w:jc w:val="both"/>
        <w:rPr>
          <w:rFonts w:cs="TimesNewRoman"/>
          <w:sz w:val="24"/>
          <w:szCs w:val="24"/>
        </w:rPr>
      </w:pPr>
      <w:r w:rsidRPr="00D97C5B">
        <w:rPr>
          <w:rFonts w:cs="TimesNewRoman"/>
          <w:sz w:val="24"/>
          <w:szCs w:val="24"/>
        </w:rPr>
        <w:t xml:space="preserve">de développer une dimension comparative entre des contextes politiques et sociétaux variés et des ancrages territoriaux différenciés. </w:t>
      </w:r>
    </w:p>
    <w:p w:rsidR="000D6F2A" w:rsidRPr="00D97C5B" w:rsidRDefault="000D6F2A" w:rsidP="000D6F2A">
      <w:pPr>
        <w:pStyle w:val="Sansinterligne"/>
        <w:jc w:val="both"/>
        <w:rPr>
          <w:rFonts w:cs="TimesNewRoman"/>
          <w:sz w:val="24"/>
          <w:szCs w:val="24"/>
        </w:rPr>
      </w:pPr>
    </w:p>
    <w:p w:rsidR="000D6F2A" w:rsidRPr="00D97C5B" w:rsidRDefault="000D6F2A" w:rsidP="000D6F2A">
      <w:pPr>
        <w:pStyle w:val="Sansinterligne"/>
        <w:jc w:val="both"/>
        <w:rPr>
          <w:sz w:val="24"/>
          <w:szCs w:val="24"/>
        </w:rPr>
      </w:pPr>
      <w:r w:rsidRPr="00D97C5B">
        <w:rPr>
          <w:rFonts w:cs="TimesNewRoman"/>
          <w:sz w:val="24"/>
          <w:szCs w:val="24"/>
        </w:rPr>
        <w:t>Plus précisément, les communications attendues en lien avec la thématique de l’</w:t>
      </w:r>
      <w:r w:rsidRPr="00D97C5B">
        <w:rPr>
          <w:sz w:val="24"/>
          <w:szCs w:val="24"/>
        </w:rPr>
        <w:t xml:space="preserve">inclusion se déclineront sur trois axes : </w:t>
      </w:r>
    </w:p>
    <w:p w:rsidR="000D6F2A" w:rsidRPr="00D97C5B" w:rsidRDefault="000D6F2A" w:rsidP="000D6F2A">
      <w:pPr>
        <w:pStyle w:val="Sansinterligne"/>
        <w:numPr>
          <w:ilvl w:val="0"/>
          <w:numId w:val="2"/>
        </w:numPr>
        <w:jc w:val="both"/>
        <w:rPr>
          <w:sz w:val="24"/>
          <w:szCs w:val="24"/>
        </w:rPr>
      </w:pPr>
      <w:r w:rsidRPr="00D97C5B">
        <w:rPr>
          <w:b/>
          <w:sz w:val="24"/>
          <w:szCs w:val="24"/>
        </w:rPr>
        <w:t>Axe 01 : Le fonctionnement des</w:t>
      </w:r>
      <w:r w:rsidRPr="00D97C5B">
        <w:rPr>
          <w:sz w:val="24"/>
          <w:szCs w:val="24"/>
        </w:rPr>
        <w:t xml:space="preserve"> </w:t>
      </w:r>
      <w:r w:rsidRPr="00D97C5B">
        <w:rPr>
          <w:b/>
          <w:sz w:val="24"/>
          <w:szCs w:val="24"/>
        </w:rPr>
        <w:t>systèmes</w:t>
      </w:r>
      <w:r w:rsidRPr="00D97C5B">
        <w:rPr>
          <w:sz w:val="24"/>
          <w:szCs w:val="24"/>
        </w:rPr>
        <w:t xml:space="preserve"> (de soins, de santé, de protection sociale, d’éducation…) et les modalités d’actions engagées à l’égard des populations les plus</w:t>
      </w:r>
      <w:r w:rsidR="00874645">
        <w:rPr>
          <w:sz w:val="24"/>
          <w:szCs w:val="24"/>
        </w:rPr>
        <w:t xml:space="preserve"> vulnérables</w:t>
      </w:r>
      <w:r w:rsidRPr="00D97C5B">
        <w:rPr>
          <w:sz w:val="24"/>
          <w:szCs w:val="24"/>
        </w:rPr>
        <w:t xml:space="preserve">. Cet axe permet une analyse fine des logiques de construction des problématiques sociales à l’œuvre et des représentations des acteurs mobilisés dans les actions « correctives » proposées (professionnels de la santé, du soin, de l’action sociale, acteurs politico-institutionnels, associatifs, etc.). </w:t>
      </w:r>
    </w:p>
    <w:p w:rsidR="000D6F2A" w:rsidRPr="00D97C5B" w:rsidRDefault="000D6F2A" w:rsidP="000D6F2A">
      <w:pPr>
        <w:pStyle w:val="Sansinterligne"/>
        <w:numPr>
          <w:ilvl w:val="0"/>
          <w:numId w:val="2"/>
        </w:numPr>
        <w:jc w:val="both"/>
        <w:rPr>
          <w:sz w:val="24"/>
          <w:szCs w:val="24"/>
        </w:rPr>
      </w:pPr>
      <w:r w:rsidRPr="00D97C5B">
        <w:rPr>
          <w:rFonts w:cs="TimesNewRoman"/>
          <w:b/>
          <w:sz w:val="24"/>
          <w:szCs w:val="24"/>
        </w:rPr>
        <w:t>Axe 02 : L’</w:t>
      </w:r>
      <w:proofErr w:type="spellStart"/>
      <w:r w:rsidRPr="00D97C5B">
        <w:rPr>
          <w:rFonts w:cs="TimesNewRoman"/>
          <w:b/>
          <w:sz w:val="24"/>
          <w:szCs w:val="24"/>
        </w:rPr>
        <w:t>i</w:t>
      </w:r>
      <w:r w:rsidRPr="00D97C5B">
        <w:rPr>
          <w:b/>
          <w:sz w:val="24"/>
          <w:szCs w:val="24"/>
        </w:rPr>
        <w:t>nter-relation</w:t>
      </w:r>
      <w:proofErr w:type="spellEnd"/>
      <w:r w:rsidRPr="00D97C5B">
        <w:rPr>
          <w:b/>
          <w:sz w:val="24"/>
          <w:szCs w:val="24"/>
        </w:rPr>
        <w:t xml:space="preserve"> entre les systèmes et les individus. </w:t>
      </w:r>
      <w:r w:rsidRPr="00D97C5B">
        <w:rPr>
          <w:sz w:val="24"/>
          <w:szCs w:val="24"/>
        </w:rPr>
        <w:t>Cet axe invite à raisonner en termes de parcours et de trajectoires à la fois des personnes concernées et des professionnels, ou des bénévoles qui gravitent autour d’elles. Il s’agit d’étudier les effets de réciprocité, les processus et les dynamiques à l’œuvre, notamment en termes de ruptures, de continuité et de négociation.</w:t>
      </w:r>
    </w:p>
    <w:p w:rsidR="000D6F2A" w:rsidRPr="00D97C5B" w:rsidRDefault="000D6F2A" w:rsidP="000D6F2A">
      <w:pPr>
        <w:pStyle w:val="Sansinterligne"/>
        <w:numPr>
          <w:ilvl w:val="0"/>
          <w:numId w:val="2"/>
        </w:numPr>
        <w:jc w:val="both"/>
        <w:rPr>
          <w:sz w:val="24"/>
          <w:szCs w:val="24"/>
        </w:rPr>
      </w:pPr>
      <w:r w:rsidRPr="00D97C5B">
        <w:rPr>
          <w:b/>
          <w:sz w:val="24"/>
          <w:szCs w:val="24"/>
        </w:rPr>
        <w:t>Axe 03 : Les expériences subjectives des personnes concernées par l’inclusion</w:t>
      </w:r>
      <w:r w:rsidRPr="00D97C5B">
        <w:rPr>
          <w:sz w:val="24"/>
          <w:szCs w:val="24"/>
        </w:rPr>
        <w:t>. Cet axe considère le vécu, la rationalité et les stratégies des acteurs. Il s’intéresse notamment aux ressources des acteurs faibles, aux alliances, aux réseaux, aux savoirs d’expériences et aux potentialités d’expertise. Il s‘agit également d’étudier la genèse des formes d’organisation et d’action autour de la lutte pour la reconnaissance.</w:t>
      </w:r>
    </w:p>
    <w:p w:rsidR="000D6F2A" w:rsidRPr="00D97C5B" w:rsidRDefault="000D6F2A" w:rsidP="000D6F2A">
      <w:pPr>
        <w:pStyle w:val="Sansinterligne"/>
        <w:jc w:val="both"/>
        <w:rPr>
          <w:sz w:val="24"/>
          <w:szCs w:val="24"/>
        </w:rPr>
      </w:pPr>
    </w:p>
    <w:p w:rsidR="000D6F2A" w:rsidRPr="00D97C5B" w:rsidRDefault="000D6F2A" w:rsidP="000D6F2A">
      <w:pPr>
        <w:pStyle w:val="Sansinterligne"/>
        <w:jc w:val="both"/>
        <w:rPr>
          <w:sz w:val="24"/>
          <w:szCs w:val="24"/>
        </w:rPr>
      </w:pPr>
      <w:r w:rsidRPr="00D97C5B">
        <w:rPr>
          <w:sz w:val="24"/>
          <w:szCs w:val="24"/>
        </w:rPr>
        <w:lastRenderedPageBreak/>
        <w:t>Pour les développer, le colloque s’</w:t>
      </w:r>
      <w:r w:rsidR="00874645" w:rsidRPr="00D97C5B">
        <w:rPr>
          <w:sz w:val="24"/>
          <w:szCs w:val="24"/>
        </w:rPr>
        <w:t>appui</w:t>
      </w:r>
      <w:r w:rsidR="00874645">
        <w:rPr>
          <w:sz w:val="24"/>
          <w:szCs w:val="24"/>
        </w:rPr>
        <w:t>era</w:t>
      </w:r>
      <w:r w:rsidRPr="00D97C5B">
        <w:rPr>
          <w:sz w:val="24"/>
          <w:szCs w:val="24"/>
        </w:rPr>
        <w:t xml:space="preserve"> sur une approche pluri</w:t>
      </w:r>
      <w:r w:rsidR="00FE26DB">
        <w:rPr>
          <w:sz w:val="24"/>
          <w:szCs w:val="24"/>
        </w:rPr>
        <w:t xml:space="preserve"> et </w:t>
      </w:r>
      <w:proofErr w:type="spellStart"/>
      <w:r w:rsidRPr="00D97C5B">
        <w:rPr>
          <w:sz w:val="24"/>
          <w:szCs w:val="24"/>
        </w:rPr>
        <w:t>inter-disciplinaire</w:t>
      </w:r>
      <w:proofErr w:type="spellEnd"/>
      <w:r w:rsidRPr="00D97C5B">
        <w:rPr>
          <w:sz w:val="24"/>
          <w:szCs w:val="24"/>
        </w:rPr>
        <w:t xml:space="preserve"> mobilisant une diversité des méthodes d’investigation.</w:t>
      </w:r>
    </w:p>
    <w:p w:rsidR="000D6F2A" w:rsidRPr="00D97C5B" w:rsidRDefault="000D6F2A" w:rsidP="000D6F2A">
      <w:pPr>
        <w:spacing w:line="240" w:lineRule="auto"/>
        <w:jc w:val="both"/>
        <w:rPr>
          <w:sz w:val="24"/>
          <w:szCs w:val="24"/>
        </w:rPr>
      </w:pPr>
      <w:r w:rsidRPr="00D97C5B">
        <w:rPr>
          <w:sz w:val="24"/>
          <w:szCs w:val="24"/>
        </w:rPr>
        <w:t>Les communications devront être centrées sur la notion d’inclusion en s’inscrivant sur l’un des trois axes proposés. Elles devront faire avancer la réflexion et les connaissances sur cette notion.</w:t>
      </w:r>
      <w:r>
        <w:rPr>
          <w:sz w:val="24"/>
          <w:szCs w:val="24"/>
        </w:rPr>
        <w:t xml:space="preserve"> </w:t>
      </w:r>
      <w:r w:rsidRPr="00D97C5B">
        <w:rPr>
          <w:sz w:val="24"/>
          <w:szCs w:val="24"/>
        </w:rPr>
        <w:t>Ce colloque donnera lieu à un projet de publication.</w:t>
      </w:r>
    </w:p>
    <w:p w:rsidR="000D6F2A" w:rsidRPr="00883A78" w:rsidRDefault="000D6F2A" w:rsidP="000D6F2A">
      <w:pPr>
        <w:pStyle w:val="Titre3"/>
        <w:rPr>
          <w:sz w:val="28"/>
        </w:rPr>
      </w:pPr>
      <w:bookmarkStart w:id="2" w:name="_Toc494784149"/>
      <w:r w:rsidRPr="00883A78">
        <w:rPr>
          <w:sz w:val="28"/>
        </w:rPr>
        <w:t>Modalités de soumission</w:t>
      </w:r>
      <w:bookmarkEnd w:id="2"/>
      <w:r w:rsidRPr="00883A78">
        <w:rPr>
          <w:sz w:val="28"/>
        </w:rPr>
        <w:t> </w:t>
      </w:r>
    </w:p>
    <w:p w:rsidR="000D6F2A" w:rsidRPr="00D97C5B" w:rsidRDefault="000D6F2A" w:rsidP="000D6F2A">
      <w:pPr>
        <w:spacing w:line="240" w:lineRule="auto"/>
        <w:jc w:val="both"/>
        <w:rPr>
          <w:sz w:val="24"/>
          <w:szCs w:val="24"/>
        </w:rPr>
      </w:pPr>
      <w:r w:rsidRPr="00D97C5B">
        <w:rPr>
          <w:sz w:val="24"/>
          <w:szCs w:val="24"/>
        </w:rPr>
        <w:t>Les propositions de communications comprendront 500 mots, 5 mots-clés et une bibliographie indicative de 5 titres</w:t>
      </w:r>
    </w:p>
    <w:p w:rsidR="000D6F2A" w:rsidRPr="00D97C5B" w:rsidRDefault="000D6F2A" w:rsidP="000D6F2A">
      <w:pPr>
        <w:spacing w:line="240" w:lineRule="auto"/>
        <w:jc w:val="both"/>
        <w:rPr>
          <w:sz w:val="24"/>
          <w:szCs w:val="24"/>
        </w:rPr>
      </w:pPr>
      <w:r w:rsidRPr="00D97C5B">
        <w:rPr>
          <w:sz w:val="24"/>
          <w:szCs w:val="24"/>
        </w:rPr>
        <w:t>Elles pourront être proposées par des chercheurs, doctorants, professionnels ou collectifs d’usagers de l’action sociale.</w:t>
      </w:r>
    </w:p>
    <w:p w:rsidR="000D6F2A" w:rsidRPr="006E1FBE" w:rsidRDefault="000D6F2A" w:rsidP="000D6F2A">
      <w:pPr>
        <w:spacing w:line="240" w:lineRule="auto"/>
        <w:jc w:val="both"/>
        <w:rPr>
          <w:sz w:val="24"/>
          <w:szCs w:val="24"/>
        </w:rPr>
      </w:pPr>
      <w:r w:rsidRPr="006E1FBE">
        <w:rPr>
          <w:sz w:val="24"/>
          <w:szCs w:val="24"/>
        </w:rPr>
        <w:t xml:space="preserve">Membres du comité scientifique chargé de l’évaluation des communications : </w:t>
      </w:r>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Brigitte Baldelli</w:t>
      </w:r>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 xml:space="preserve">Anne-Françoise </w:t>
      </w:r>
      <w:proofErr w:type="spellStart"/>
      <w:r w:rsidRPr="00D97C5B">
        <w:rPr>
          <w:sz w:val="24"/>
          <w:szCs w:val="24"/>
        </w:rPr>
        <w:t>Déquiré</w:t>
      </w:r>
      <w:proofErr w:type="spellEnd"/>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 xml:space="preserve">Emmanuel </w:t>
      </w:r>
      <w:proofErr w:type="spellStart"/>
      <w:r w:rsidRPr="00D97C5B">
        <w:rPr>
          <w:sz w:val="24"/>
          <w:szCs w:val="24"/>
        </w:rPr>
        <w:t>Jovelin</w:t>
      </w:r>
      <w:proofErr w:type="spellEnd"/>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David Puaud</w:t>
      </w:r>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Slimane Touhami</w:t>
      </w:r>
    </w:p>
    <w:p w:rsidR="000D6F2A" w:rsidRPr="00D97C5B" w:rsidRDefault="000D6F2A" w:rsidP="000D6F2A">
      <w:pPr>
        <w:pStyle w:val="Paragraphedeliste"/>
        <w:numPr>
          <w:ilvl w:val="0"/>
          <w:numId w:val="4"/>
        </w:numPr>
        <w:spacing w:after="160" w:line="240" w:lineRule="auto"/>
        <w:jc w:val="both"/>
        <w:rPr>
          <w:sz w:val="24"/>
          <w:szCs w:val="24"/>
        </w:rPr>
      </w:pPr>
      <w:r w:rsidRPr="00D97C5B">
        <w:rPr>
          <w:sz w:val="24"/>
          <w:szCs w:val="24"/>
        </w:rPr>
        <w:t>Valérie Wolff</w:t>
      </w:r>
    </w:p>
    <w:p w:rsidR="000D6F2A" w:rsidRPr="00D97C5B" w:rsidRDefault="000D6F2A" w:rsidP="000D6F2A">
      <w:pPr>
        <w:spacing w:line="240" w:lineRule="auto"/>
        <w:jc w:val="both"/>
        <w:rPr>
          <w:sz w:val="24"/>
          <w:szCs w:val="24"/>
        </w:rPr>
      </w:pPr>
    </w:p>
    <w:p w:rsidR="00562C13" w:rsidRDefault="000D6F2A" w:rsidP="000D6F2A">
      <w:pPr>
        <w:spacing w:line="240" w:lineRule="auto"/>
        <w:jc w:val="both"/>
        <w:rPr>
          <w:sz w:val="24"/>
          <w:szCs w:val="24"/>
        </w:rPr>
      </w:pPr>
      <w:r w:rsidRPr="00D97C5B">
        <w:rPr>
          <w:sz w:val="24"/>
          <w:szCs w:val="24"/>
        </w:rPr>
        <w:t>Les propositions doivent être soumises sur :</w:t>
      </w:r>
      <w:r w:rsidR="00562C13" w:rsidRPr="00562C13">
        <w:rPr>
          <w:rFonts w:ascii="Helvetica" w:eastAsia="Times New Roman" w:hAnsi="Helvetica"/>
          <w:color w:val="212121"/>
        </w:rPr>
        <w:t xml:space="preserve"> </w:t>
      </w:r>
      <w:hyperlink r:id="rId7" w:history="1">
        <w:r w:rsidR="00562C13">
          <w:rPr>
            <w:rStyle w:val="Lienhypertexte"/>
            <w:rFonts w:ascii="Helvetica" w:eastAsia="Times New Roman" w:hAnsi="Helvetica"/>
          </w:rPr>
          <w:t>reactifscolloque@gmail.com</w:t>
        </w:r>
      </w:hyperlink>
    </w:p>
    <w:p w:rsidR="000D6F2A" w:rsidRPr="00D97C5B" w:rsidRDefault="000D6F2A" w:rsidP="000D6F2A">
      <w:pPr>
        <w:spacing w:line="240" w:lineRule="auto"/>
        <w:jc w:val="both"/>
        <w:rPr>
          <w:sz w:val="24"/>
          <w:szCs w:val="24"/>
        </w:rPr>
      </w:pPr>
      <w:r w:rsidRPr="00D97C5B">
        <w:rPr>
          <w:sz w:val="24"/>
          <w:szCs w:val="24"/>
        </w:rPr>
        <w:t xml:space="preserve">Date de remise des propositions de communications : </w:t>
      </w:r>
      <w:r w:rsidRPr="00D97C5B">
        <w:rPr>
          <w:b/>
          <w:sz w:val="24"/>
          <w:szCs w:val="24"/>
        </w:rPr>
        <w:t>08 décembre 2017</w:t>
      </w:r>
    </w:p>
    <w:p w:rsidR="000D6F2A" w:rsidRPr="00D97C5B" w:rsidRDefault="000D6F2A" w:rsidP="000D6F2A">
      <w:pPr>
        <w:spacing w:line="240" w:lineRule="auto"/>
        <w:jc w:val="both"/>
        <w:rPr>
          <w:sz w:val="24"/>
          <w:szCs w:val="24"/>
        </w:rPr>
      </w:pPr>
      <w:r w:rsidRPr="00D97C5B">
        <w:rPr>
          <w:sz w:val="24"/>
          <w:szCs w:val="24"/>
        </w:rPr>
        <w:t xml:space="preserve">Retour sur les propositions : </w:t>
      </w:r>
      <w:r w:rsidRPr="00D97C5B">
        <w:rPr>
          <w:b/>
          <w:sz w:val="24"/>
          <w:szCs w:val="24"/>
        </w:rPr>
        <w:t>22 janvier 2018</w:t>
      </w:r>
    </w:p>
    <w:p w:rsidR="000D6F2A" w:rsidRDefault="000D6F2A" w:rsidP="000D6F2A">
      <w:pPr>
        <w:spacing w:line="240" w:lineRule="auto"/>
        <w:jc w:val="both"/>
        <w:rPr>
          <w:rFonts w:asciiTheme="majorHAnsi" w:hAnsiTheme="majorHAnsi"/>
          <w:sz w:val="24"/>
          <w:szCs w:val="24"/>
        </w:rPr>
      </w:pPr>
    </w:p>
    <w:p w:rsidR="000D6F2A" w:rsidRDefault="000D6F2A" w:rsidP="000D6F2A">
      <w:pPr>
        <w:spacing w:line="240" w:lineRule="auto"/>
        <w:jc w:val="both"/>
        <w:rPr>
          <w:rFonts w:asciiTheme="majorHAnsi" w:hAnsiTheme="majorHAnsi"/>
          <w:sz w:val="24"/>
          <w:szCs w:val="24"/>
        </w:rPr>
      </w:pPr>
      <w:r>
        <w:rPr>
          <w:rFonts w:asciiTheme="majorHAnsi" w:hAnsiTheme="majorHAnsi"/>
          <w:sz w:val="24"/>
          <w:szCs w:val="24"/>
        </w:rPr>
        <w:t>Critère d’évaluation des propositions :</w:t>
      </w:r>
    </w:p>
    <w:p w:rsidR="000D6F2A" w:rsidRDefault="000D6F2A" w:rsidP="000D6F2A">
      <w:pPr>
        <w:pStyle w:val="Paragraphedeliste"/>
        <w:numPr>
          <w:ilvl w:val="0"/>
          <w:numId w:val="3"/>
        </w:numPr>
        <w:spacing w:after="160" w:line="240" w:lineRule="auto"/>
        <w:jc w:val="both"/>
        <w:rPr>
          <w:rFonts w:asciiTheme="majorHAnsi" w:hAnsiTheme="majorHAnsi"/>
          <w:sz w:val="24"/>
          <w:szCs w:val="24"/>
        </w:rPr>
      </w:pPr>
      <w:r w:rsidRPr="00A20C63">
        <w:rPr>
          <w:rFonts w:asciiTheme="majorHAnsi" w:hAnsiTheme="majorHAnsi"/>
          <w:sz w:val="24"/>
          <w:szCs w:val="24"/>
        </w:rPr>
        <w:t>Lien avec l</w:t>
      </w:r>
      <w:r>
        <w:rPr>
          <w:rFonts w:asciiTheme="majorHAnsi" w:hAnsiTheme="majorHAnsi"/>
          <w:sz w:val="24"/>
          <w:szCs w:val="24"/>
        </w:rPr>
        <w:t>a</w:t>
      </w:r>
      <w:r w:rsidRPr="00A20C63">
        <w:rPr>
          <w:rFonts w:asciiTheme="majorHAnsi" w:hAnsiTheme="majorHAnsi"/>
          <w:sz w:val="24"/>
          <w:szCs w:val="24"/>
        </w:rPr>
        <w:t xml:space="preserve"> thématique de l’inclusion</w:t>
      </w:r>
    </w:p>
    <w:p w:rsidR="000D6F2A" w:rsidRPr="00A20C63" w:rsidRDefault="000D6F2A" w:rsidP="000D6F2A">
      <w:pPr>
        <w:pStyle w:val="Paragraphedeliste"/>
        <w:numPr>
          <w:ilvl w:val="0"/>
          <w:numId w:val="3"/>
        </w:numPr>
        <w:spacing w:after="160" w:line="240" w:lineRule="auto"/>
        <w:jc w:val="both"/>
        <w:rPr>
          <w:rFonts w:asciiTheme="majorHAnsi" w:hAnsiTheme="majorHAnsi"/>
          <w:sz w:val="24"/>
          <w:szCs w:val="24"/>
        </w:rPr>
      </w:pPr>
      <w:r w:rsidRPr="00A20C63">
        <w:rPr>
          <w:rFonts w:asciiTheme="majorHAnsi" w:hAnsiTheme="majorHAnsi"/>
          <w:sz w:val="24"/>
          <w:szCs w:val="24"/>
        </w:rPr>
        <w:t>Originalité du propos</w:t>
      </w:r>
    </w:p>
    <w:p w:rsidR="000D6F2A" w:rsidRPr="00A20C63" w:rsidRDefault="000D6F2A" w:rsidP="000D6F2A">
      <w:pPr>
        <w:pStyle w:val="Paragraphedeliste"/>
        <w:numPr>
          <w:ilvl w:val="0"/>
          <w:numId w:val="3"/>
        </w:numPr>
        <w:spacing w:after="160" w:line="240" w:lineRule="auto"/>
        <w:jc w:val="both"/>
        <w:rPr>
          <w:rFonts w:asciiTheme="majorHAnsi" w:hAnsiTheme="majorHAnsi"/>
          <w:sz w:val="24"/>
          <w:szCs w:val="24"/>
        </w:rPr>
      </w:pPr>
      <w:r w:rsidRPr="00A20C63">
        <w:rPr>
          <w:rFonts w:asciiTheme="majorHAnsi" w:hAnsiTheme="majorHAnsi"/>
          <w:sz w:val="24"/>
          <w:szCs w:val="24"/>
        </w:rPr>
        <w:t>Clarté et cohérence du propos</w:t>
      </w:r>
    </w:p>
    <w:p w:rsidR="00B508F1" w:rsidRDefault="00B508F1"/>
    <w:sectPr w:rsidR="00B508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C2" w:rsidRDefault="00857DC2" w:rsidP="000D6F2A">
      <w:pPr>
        <w:spacing w:after="0" w:line="240" w:lineRule="auto"/>
      </w:pPr>
      <w:r>
        <w:separator/>
      </w:r>
    </w:p>
  </w:endnote>
  <w:endnote w:type="continuationSeparator" w:id="0">
    <w:p w:rsidR="00857DC2" w:rsidRDefault="00857DC2" w:rsidP="000D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variable"/>
    <w:sig w:usb0="00000003" w:usb1="00000000" w:usb2="00000000" w:usb3="00000000" w:csb0="00000001" w:csb1="00000000"/>
  </w:font>
  <w:font w:name="Times-Italic">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C2" w:rsidRDefault="00857DC2" w:rsidP="000D6F2A">
      <w:pPr>
        <w:spacing w:after="0" w:line="240" w:lineRule="auto"/>
      </w:pPr>
      <w:r>
        <w:separator/>
      </w:r>
    </w:p>
  </w:footnote>
  <w:footnote w:type="continuationSeparator" w:id="0">
    <w:p w:rsidR="00857DC2" w:rsidRDefault="00857DC2" w:rsidP="000D6F2A">
      <w:pPr>
        <w:spacing w:after="0" w:line="240" w:lineRule="auto"/>
      </w:pPr>
      <w:r>
        <w:continuationSeparator/>
      </w:r>
    </w:p>
  </w:footnote>
  <w:footnote w:id="1">
    <w:p w:rsidR="000D6F2A" w:rsidRPr="006E1FBE" w:rsidRDefault="000D6F2A" w:rsidP="000D6F2A">
      <w:pPr>
        <w:spacing w:after="0" w:line="240" w:lineRule="auto"/>
        <w:jc w:val="both"/>
        <w:rPr>
          <w:i/>
          <w:sz w:val="18"/>
          <w:szCs w:val="20"/>
        </w:rPr>
      </w:pPr>
      <w:r>
        <w:rPr>
          <w:rStyle w:val="Appelnotedebasdep"/>
        </w:rPr>
        <w:footnoteRef/>
      </w:r>
      <w:r>
        <w:t xml:space="preserve"> </w:t>
      </w:r>
      <w:proofErr w:type="spellStart"/>
      <w:r w:rsidRPr="006E1FBE">
        <w:rPr>
          <w:i/>
          <w:sz w:val="18"/>
          <w:szCs w:val="20"/>
        </w:rPr>
        <w:t>RE.Act.I.F.s</w:t>
      </w:r>
      <w:proofErr w:type="spellEnd"/>
      <w:r w:rsidRPr="006E1FBE">
        <w:rPr>
          <w:i/>
          <w:sz w:val="18"/>
          <w:szCs w:val="20"/>
        </w:rPr>
        <w:t xml:space="preserve"> est un consortium d’acteurs engagés dans la Formation et la Recherche Action dédié au travail social. Notre réseau fédère des établissements de formation et recherche en travail social, des gestionnaires et des praticiens de l’intervention sociale ainsi que des laboratoires de recherche universitaire déjà inscrits dans une longue tradition de travail collaboratif. Les membres sont : l’École Supérieure en Travail Éducatif et Social de Strasbourg, Le Laboratoire Lorrain des Sciences Sociales, FAIRE – Économie Sociale et Solidaire IFOCAS-IRTS, ERASME Toulouse, IRTS Nouvelle-Aquitaine, IRTS Poitou-Charente-Nouvelle Aquitaine, Groupement des Ecoles Santé Social de l’Institut Catholique de Lille</w:t>
      </w:r>
    </w:p>
  </w:footnote>
  <w:footnote w:id="2">
    <w:p w:rsidR="000D6F2A" w:rsidRPr="006E1FBE" w:rsidRDefault="000D6F2A" w:rsidP="000D6F2A">
      <w:pPr>
        <w:autoSpaceDE w:val="0"/>
        <w:autoSpaceDN w:val="0"/>
        <w:adjustRightInd w:val="0"/>
        <w:spacing w:after="0"/>
        <w:rPr>
          <w:sz w:val="18"/>
          <w:szCs w:val="20"/>
          <w:lang w:val="en-US"/>
        </w:rPr>
      </w:pPr>
      <w:r w:rsidRPr="006E1FBE">
        <w:rPr>
          <w:rStyle w:val="Appelnotedebasdep"/>
          <w:sz w:val="18"/>
          <w:szCs w:val="20"/>
        </w:rPr>
        <w:footnoteRef/>
      </w:r>
      <w:r w:rsidRPr="006E1FBE">
        <w:rPr>
          <w:sz w:val="18"/>
          <w:szCs w:val="20"/>
          <w:lang w:val="en-US"/>
        </w:rPr>
        <w:t xml:space="preserve"> </w:t>
      </w:r>
      <w:proofErr w:type="spellStart"/>
      <w:r w:rsidRPr="006E1FBE">
        <w:rPr>
          <w:sz w:val="18"/>
          <w:szCs w:val="20"/>
          <w:lang w:val="en-US"/>
        </w:rPr>
        <w:t>Niklas</w:t>
      </w:r>
      <w:proofErr w:type="spellEnd"/>
      <w:r w:rsidRPr="006E1FBE">
        <w:rPr>
          <w:sz w:val="18"/>
          <w:szCs w:val="20"/>
          <w:lang w:val="en-US"/>
        </w:rPr>
        <w:t xml:space="preserve"> </w:t>
      </w:r>
      <w:proofErr w:type="spellStart"/>
      <w:r w:rsidRPr="006E1FBE">
        <w:rPr>
          <w:sz w:val="18"/>
          <w:szCs w:val="20"/>
          <w:lang w:val="en-US"/>
        </w:rPr>
        <w:t>Luhmann</w:t>
      </w:r>
      <w:proofErr w:type="spellEnd"/>
      <w:r w:rsidRPr="006E1FBE">
        <w:rPr>
          <w:sz w:val="18"/>
          <w:szCs w:val="20"/>
          <w:lang w:val="en-US"/>
        </w:rPr>
        <w:t>,</w:t>
      </w:r>
      <w:r w:rsidRPr="006E1FBE">
        <w:rPr>
          <w:rFonts w:cs="Times-Roman"/>
          <w:sz w:val="18"/>
          <w:szCs w:val="20"/>
          <w:lang w:val="en-US"/>
        </w:rPr>
        <w:t xml:space="preserve"> </w:t>
      </w:r>
      <w:r w:rsidRPr="006E1FBE">
        <w:rPr>
          <w:rFonts w:cs="Times-Italic"/>
          <w:i/>
          <w:iCs/>
          <w:sz w:val="18"/>
          <w:szCs w:val="20"/>
          <w:lang w:val="en-US"/>
        </w:rPr>
        <w:t>Social systems</w:t>
      </w:r>
      <w:r w:rsidRPr="006E1FBE">
        <w:rPr>
          <w:rFonts w:cs="Times-Roman"/>
          <w:sz w:val="18"/>
          <w:szCs w:val="20"/>
          <w:lang w:val="en-US"/>
        </w:rPr>
        <w:t>, Stanford, Stanford University Press, 1995.</w:t>
      </w:r>
    </w:p>
  </w:footnote>
  <w:footnote w:id="3">
    <w:p w:rsidR="000D6F2A" w:rsidRPr="006E1FBE" w:rsidRDefault="000D6F2A" w:rsidP="000D6F2A">
      <w:pPr>
        <w:spacing w:after="0" w:line="240" w:lineRule="auto"/>
        <w:contextualSpacing/>
        <w:jc w:val="both"/>
        <w:rPr>
          <w:sz w:val="18"/>
          <w:szCs w:val="20"/>
          <w:lang w:val="en-US"/>
        </w:rPr>
      </w:pPr>
      <w:r w:rsidRPr="006E1FBE">
        <w:rPr>
          <w:rStyle w:val="Appelnotedebasdep"/>
          <w:sz w:val="18"/>
          <w:szCs w:val="20"/>
        </w:rPr>
        <w:footnoteRef/>
      </w:r>
      <w:r w:rsidRPr="006E1FBE">
        <w:rPr>
          <w:sz w:val="18"/>
          <w:szCs w:val="20"/>
          <w:lang w:val="en-US"/>
        </w:rPr>
        <w:t xml:space="preserve"> </w:t>
      </w:r>
      <w:r w:rsidRPr="006E1FBE">
        <w:rPr>
          <w:rFonts w:cs="Calibri Light"/>
          <w:sz w:val="18"/>
          <w:szCs w:val="20"/>
          <w:lang w:val="en-US" w:eastAsia="fr-FR"/>
        </w:rPr>
        <w:t xml:space="preserve">Amartya Sen, </w:t>
      </w:r>
      <w:r w:rsidRPr="006E1FBE">
        <w:rPr>
          <w:rFonts w:cs="Calibri Light"/>
          <w:i/>
          <w:sz w:val="18"/>
          <w:szCs w:val="20"/>
          <w:lang w:val="en-US" w:eastAsia="fr-FR"/>
        </w:rPr>
        <w:t>Development as Freedom</w:t>
      </w:r>
      <w:r w:rsidRPr="006E1FBE">
        <w:rPr>
          <w:rFonts w:cs="Calibri Light"/>
          <w:sz w:val="18"/>
          <w:szCs w:val="20"/>
          <w:lang w:val="en-US" w:eastAsia="fr-FR"/>
        </w:rPr>
        <w:t>, Oxford University Press,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B3626"/>
    <w:multiLevelType w:val="hybridMultilevel"/>
    <w:tmpl w:val="0FC4212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49EB04A8"/>
    <w:multiLevelType w:val="hybridMultilevel"/>
    <w:tmpl w:val="7F9AD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2E1611"/>
    <w:multiLevelType w:val="hybridMultilevel"/>
    <w:tmpl w:val="CB5060FE"/>
    <w:lvl w:ilvl="0" w:tplc="603C75EE">
      <w:numFmt w:val="bullet"/>
      <w:lvlText w:val="-"/>
      <w:lvlJc w:val="left"/>
      <w:pPr>
        <w:ind w:left="405" w:hanging="360"/>
      </w:pPr>
      <w:rPr>
        <w:rFonts w:ascii="Times New Roman" w:eastAsia="Times New Roman" w:hAnsi="Times New Roman" w:hint="default"/>
      </w:rPr>
    </w:lvl>
    <w:lvl w:ilvl="1" w:tplc="040C0003">
      <w:start w:val="1"/>
      <w:numFmt w:val="bullet"/>
      <w:lvlText w:val="o"/>
      <w:lvlJc w:val="left"/>
      <w:pPr>
        <w:ind w:left="1125" w:hanging="360"/>
      </w:pPr>
      <w:rPr>
        <w:rFonts w:ascii="Courier New" w:hAnsi="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hint="default"/>
      </w:rPr>
    </w:lvl>
    <w:lvl w:ilvl="8" w:tplc="040C0005">
      <w:start w:val="1"/>
      <w:numFmt w:val="bullet"/>
      <w:lvlText w:val=""/>
      <w:lvlJc w:val="left"/>
      <w:pPr>
        <w:ind w:left="6165" w:hanging="360"/>
      </w:pPr>
      <w:rPr>
        <w:rFonts w:ascii="Wingdings" w:hAnsi="Wingdings" w:hint="default"/>
      </w:rPr>
    </w:lvl>
  </w:abstractNum>
  <w:abstractNum w:abstractNumId="3" w15:restartNumberingAfterBreak="0">
    <w:nsid w:val="6C246DA7"/>
    <w:multiLevelType w:val="hybridMultilevel"/>
    <w:tmpl w:val="F4528122"/>
    <w:lvl w:ilvl="0" w:tplc="603C75EE">
      <w:numFmt w:val="bullet"/>
      <w:lvlText w:val="-"/>
      <w:lvlJc w:val="left"/>
      <w:pPr>
        <w:ind w:left="450" w:hanging="360"/>
      </w:pPr>
      <w:rPr>
        <w:rFonts w:ascii="Times New Roman" w:eastAsia="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A"/>
    <w:rsid w:val="000B2513"/>
    <w:rsid w:val="000D6F2A"/>
    <w:rsid w:val="001C3CF5"/>
    <w:rsid w:val="004338A5"/>
    <w:rsid w:val="00562C13"/>
    <w:rsid w:val="006A14EE"/>
    <w:rsid w:val="00857DC2"/>
    <w:rsid w:val="00874645"/>
    <w:rsid w:val="008B5E97"/>
    <w:rsid w:val="00A76E27"/>
    <w:rsid w:val="00AC01CF"/>
    <w:rsid w:val="00AE6308"/>
    <w:rsid w:val="00B508F1"/>
    <w:rsid w:val="00D80A29"/>
    <w:rsid w:val="00D84C61"/>
    <w:rsid w:val="00FE2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8A82-AC9D-4A48-9821-74C6856B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2A"/>
    <w:pPr>
      <w:spacing w:after="200" w:line="276" w:lineRule="auto"/>
    </w:pPr>
  </w:style>
  <w:style w:type="paragraph" w:styleId="Titre3">
    <w:name w:val="heading 3"/>
    <w:basedOn w:val="Normal"/>
    <w:next w:val="Normal"/>
    <w:link w:val="Titre3Car"/>
    <w:uiPriority w:val="9"/>
    <w:unhideWhenUsed/>
    <w:qFormat/>
    <w:rsid w:val="000D6F2A"/>
    <w:pPr>
      <w:keepNext/>
      <w:keepLines/>
      <w:spacing w:before="480" w:after="12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6F2A"/>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0D6F2A"/>
    <w:pPr>
      <w:ind w:left="720"/>
      <w:contextualSpacing/>
    </w:pPr>
  </w:style>
  <w:style w:type="paragraph" w:styleId="Sansinterligne">
    <w:name w:val="No Spacing"/>
    <w:link w:val="SansinterligneCar"/>
    <w:uiPriority w:val="1"/>
    <w:qFormat/>
    <w:rsid w:val="000D6F2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D6F2A"/>
    <w:rPr>
      <w:rFonts w:eastAsiaTheme="minorEastAsia"/>
      <w:lang w:eastAsia="fr-FR"/>
    </w:rPr>
  </w:style>
  <w:style w:type="paragraph" w:styleId="Corpsdetexte">
    <w:name w:val="Body Text"/>
    <w:basedOn w:val="Normal"/>
    <w:link w:val="CorpsdetexteCar"/>
    <w:uiPriority w:val="1"/>
    <w:rsid w:val="000D6F2A"/>
    <w:pPr>
      <w:spacing w:after="160" w:line="300" w:lineRule="auto"/>
      <w:ind w:left="115"/>
    </w:pPr>
    <w:rPr>
      <w:rFonts w:ascii="Calibri" w:eastAsia="Times New Roman" w:hAnsi="Calibri" w:cs="Times New Roman"/>
      <w:sz w:val="21"/>
      <w:szCs w:val="21"/>
      <w:lang w:val="de-DE" w:eastAsia="de-DE"/>
    </w:rPr>
  </w:style>
  <w:style w:type="character" w:customStyle="1" w:styleId="CorpsdetexteCar">
    <w:name w:val="Corps de texte Car"/>
    <w:basedOn w:val="Policepardfaut"/>
    <w:link w:val="Corpsdetexte"/>
    <w:uiPriority w:val="1"/>
    <w:rsid w:val="000D6F2A"/>
    <w:rPr>
      <w:rFonts w:ascii="Calibri" w:eastAsia="Times New Roman" w:hAnsi="Calibri" w:cs="Times New Roman"/>
      <w:sz w:val="21"/>
      <w:szCs w:val="21"/>
      <w:lang w:val="de-DE" w:eastAsia="de-DE"/>
    </w:rPr>
  </w:style>
  <w:style w:type="character" w:styleId="lev">
    <w:name w:val="Strong"/>
    <w:basedOn w:val="Policepardfaut"/>
    <w:uiPriority w:val="22"/>
    <w:qFormat/>
    <w:rsid w:val="000D6F2A"/>
    <w:rPr>
      <w:rFonts w:cs="Times New Roman"/>
      <w:b/>
    </w:rPr>
  </w:style>
  <w:style w:type="character" w:styleId="Appelnotedebasdep">
    <w:name w:val="footnote reference"/>
    <w:basedOn w:val="Policepardfaut"/>
    <w:uiPriority w:val="99"/>
    <w:semiHidden/>
    <w:unhideWhenUsed/>
    <w:rsid w:val="000D6F2A"/>
    <w:rPr>
      <w:rFonts w:cs="Times New Roman"/>
      <w:vertAlign w:val="superscript"/>
    </w:rPr>
  </w:style>
  <w:style w:type="character" w:styleId="Lienhypertexte">
    <w:name w:val="Hyperlink"/>
    <w:basedOn w:val="Policepardfaut"/>
    <w:uiPriority w:val="99"/>
    <w:semiHidden/>
    <w:unhideWhenUsed/>
    <w:rsid w:val="00562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actifscolloq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Slimane Touhami</dc:creator>
  <cp:keywords/>
  <dc:description/>
  <cp:lastModifiedBy>Slimane Touhami</cp:lastModifiedBy>
  <cp:revision>11</cp:revision>
  <dcterms:created xsi:type="dcterms:W3CDTF">2017-10-16T09:26:00Z</dcterms:created>
  <dcterms:modified xsi:type="dcterms:W3CDTF">2017-10-16T10:07:00Z</dcterms:modified>
</cp:coreProperties>
</file>