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DF" w:rsidRDefault="00C97EDF" w:rsidP="0090322C">
      <w:pPr>
        <w:jc w:val="center"/>
        <w:rPr>
          <w:b/>
          <w:sz w:val="28"/>
        </w:rPr>
      </w:pPr>
      <w:r>
        <w:rPr>
          <w:noProof/>
          <w:lang w:eastAsia="fr-FR"/>
        </w:rPr>
        <w:drawing>
          <wp:anchor distT="0" distB="0" distL="114300" distR="114300" simplePos="0" relativeHeight="251658240" behindDoc="0" locked="0" layoutInCell="1" allowOverlap="1" wp14:anchorId="5015133F" wp14:editId="53902DFA">
            <wp:simplePos x="0" y="0"/>
            <wp:positionH relativeFrom="margin">
              <wp:posOffset>-45085</wp:posOffset>
            </wp:positionH>
            <wp:positionV relativeFrom="margin">
              <wp:posOffset>-645795</wp:posOffset>
            </wp:positionV>
            <wp:extent cx="795655" cy="834390"/>
            <wp:effectExtent l="0" t="0" r="444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EDERATION - 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655" cy="834390"/>
                    </a:xfrm>
                    <a:prstGeom prst="rect">
                      <a:avLst/>
                    </a:prstGeom>
                  </pic:spPr>
                </pic:pic>
              </a:graphicData>
            </a:graphic>
            <wp14:sizeRelH relativeFrom="margin">
              <wp14:pctWidth>0</wp14:pctWidth>
            </wp14:sizeRelH>
            <wp14:sizeRelV relativeFrom="margin">
              <wp14:pctHeight>0</wp14:pctHeight>
            </wp14:sizeRelV>
          </wp:anchor>
        </w:drawing>
      </w:r>
      <w:r w:rsidR="00AA033E" w:rsidRPr="00C16379">
        <w:rPr>
          <w:b/>
          <w:caps/>
          <w:color w:val="002060"/>
          <w:sz w:val="40"/>
        </w:rPr>
        <w:t xml:space="preserve">Offre </w:t>
      </w:r>
      <w:r w:rsidR="00CC4A57">
        <w:rPr>
          <w:b/>
          <w:caps/>
          <w:color w:val="002060"/>
          <w:sz w:val="40"/>
        </w:rPr>
        <w:t>d’</w:t>
      </w:r>
      <w:r w:rsidR="00AA033E" w:rsidRPr="00C16379">
        <w:rPr>
          <w:b/>
          <w:caps/>
          <w:color w:val="002060"/>
          <w:sz w:val="40"/>
        </w:rPr>
        <w:t>e</w:t>
      </w:r>
      <w:r w:rsidR="00CC4A57">
        <w:rPr>
          <w:b/>
          <w:caps/>
          <w:color w:val="002060"/>
          <w:sz w:val="40"/>
        </w:rPr>
        <w:t>mploi</w:t>
      </w:r>
      <w:r w:rsidRPr="00C97EDF">
        <w:rPr>
          <w:b/>
          <w:sz w:val="28"/>
        </w:rPr>
        <w:t xml:space="preserve"> </w:t>
      </w:r>
    </w:p>
    <w:p w:rsidR="008E07A7" w:rsidRPr="008E07A7" w:rsidRDefault="008E07A7" w:rsidP="0090322C">
      <w:pPr>
        <w:jc w:val="center"/>
        <w:rPr>
          <w:sz w:val="28"/>
        </w:rPr>
      </w:pPr>
      <w:r w:rsidRPr="008E07A7">
        <w:rPr>
          <w:sz w:val="28"/>
        </w:rPr>
        <w:t>La Fédération Générale des PEP (FGPEP) recherche</w:t>
      </w:r>
    </w:p>
    <w:p w:rsidR="00AA033E" w:rsidRPr="008E07A7" w:rsidRDefault="008E07A7" w:rsidP="0090322C">
      <w:pPr>
        <w:jc w:val="center"/>
        <w:rPr>
          <w:b/>
          <w:caps/>
          <w:color w:val="002060"/>
          <w:sz w:val="40"/>
          <w:u w:val="single"/>
        </w:rPr>
      </w:pPr>
      <w:r w:rsidRPr="008E07A7">
        <w:rPr>
          <w:b/>
          <w:sz w:val="28"/>
          <w:u w:val="single"/>
        </w:rPr>
        <w:t xml:space="preserve"> </w:t>
      </w:r>
      <w:r w:rsidR="00CC4A57">
        <w:rPr>
          <w:b/>
          <w:sz w:val="28"/>
          <w:u w:val="single"/>
        </w:rPr>
        <w:t>1</w:t>
      </w:r>
      <w:r w:rsidRPr="008E07A7">
        <w:rPr>
          <w:b/>
          <w:sz w:val="28"/>
          <w:u w:val="single"/>
        </w:rPr>
        <w:t xml:space="preserve"> </w:t>
      </w:r>
      <w:r w:rsidR="00C97EDF" w:rsidRPr="008E07A7">
        <w:rPr>
          <w:b/>
          <w:sz w:val="28"/>
          <w:u w:val="single"/>
        </w:rPr>
        <w:t>C</w:t>
      </w:r>
      <w:r w:rsidR="00CC4A57">
        <w:rPr>
          <w:b/>
          <w:sz w:val="28"/>
          <w:u w:val="single"/>
        </w:rPr>
        <w:t>oordonnateur de recherche</w:t>
      </w:r>
    </w:p>
    <w:tbl>
      <w:tblPr>
        <w:tblStyle w:val="Grilledutableau"/>
        <w:tblW w:w="0" w:type="auto"/>
        <w:tblInd w:w="20" w:type="dxa"/>
        <w:tblLook w:val="04A0" w:firstRow="1" w:lastRow="0" w:firstColumn="1" w:lastColumn="0" w:noHBand="0" w:noVBand="1"/>
      </w:tblPr>
      <w:tblGrid>
        <w:gridCol w:w="9047"/>
      </w:tblGrid>
      <w:tr w:rsidR="009D1348" w:rsidRPr="009D1348" w:rsidTr="0037089D">
        <w:tc>
          <w:tcPr>
            <w:tcW w:w="9047" w:type="dxa"/>
            <w:tcBorders>
              <w:top w:val="nil"/>
              <w:left w:val="nil"/>
              <w:right w:val="nil"/>
            </w:tcBorders>
          </w:tcPr>
          <w:p w:rsidR="00AA033E" w:rsidRPr="009D1348" w:rsidRDefault="00AA033E" w:rsidP="0090322C">
            <w:pPr>
              <w:jc w:val="both"/>
            </w:pPr>
          </w:p>
        </w:tc>
      </w:tr>
      <w:tr w:rsidR="009D1348" w:rsidRPr="009D1348" w:rsidTr="0037089D">
        <w:tc>
          <w:tcPr>
            <w:tcW w:w="9047" w:type="dxa"/>
            <w:tcBorders>
              <w:bottom w:val="single" w:sz="4" w:space="0" w:color="auto"/>
            </w:tcBorders>
          </w:tcPr>
          <w:p w:rsidR="00063AB3" w:rsidRDefault="00AA033E" w:rsidP="00063AB3">
            <w:pPr>
              <w:jc w:val="both"/>
            </w:pPr>
            <w:r w:rsidRPr="00C16379">
              <w:rPr>
                <w:u w:val="single"/>
              </w:rPr>
              <w:t>E</w:t>
            </w:r>
            <w:r w:rsidRPr="00AA7CDA">
              <w:rPr>
                <w:u w:val="single"/>
              </w:rPr>
              <w:t>ntreprise</w:t>
            </w:r>
            <w:r w:rsidRPr="009D1348">
              <w:t> : Fédération Générale des PEP</w:t>
            </w:r>
            <w:r w:rsidR="009B377E">
              <w:t xml:space="preserve"> (Pupilles de l’enseignement public)</w:t>
            </w:r>
            <w:r w:rsidR="00CC4A57">
              <w:t>, association privée à but non lucratif (loi 1901)</w:t>
            </w:r>
            <w:r w:rsidR="00063AB3">
              <w:t>.</w:t>
            </w:r>
          </w:p>
          <w:p w:rsidR="00FA663C" w:rsidRDefault="00063AB3" w:rsidP="00063AB3">
            <w:pPr>
              <w:jc w:val="both"/>
            </w:pPr>
            <w:r w:rsidRPr="00016575">
              <w:t xml:space="preserve">La Fédération Générale des PEP (Pupilles de l’enseignement public) est un réseau associatif national </w:t>
            </w:r>
            <w:r>
              <w:t xml:space="preserve">reconnu d’utilité publique œuvrant pour la mise en œuvre d’une société inclusive au travers de deux domaines d’activités : </w:t>
            </w:r>
          </w:p>
          <w:p w:rsidR="00FA663C" w:rsidRDefault="00FA663C" w:rsidP="00FA663C">
            <w:pPr>
              <w:pStyle w:val="Paragraphedeliste"/>
              <w:numPr>
                <w:ilvl w:val="0"/>
                <w:numId w:val="7"/>
              </w:numPr>
              <w:jc w:val="both"/>
            </w:pPr>
            <w:r>
              <w:t>Social / médico-social</w:t>
            </w:r>
          </w:p>
          <w:p w:rsidR="0090322C" w:rsidRPr="009D1348" w:rsidRDefault="00FA663C" w:rsidP="00FA663C">
            <w:pPr>
              <w:pStyle w:val="Paragraphedeliste"/>
              <w:numPr>
                <w:ilvl w:val="0"/>
                <w:numId w:val="7"/>
              </w:numPr>
              <w:jc w:val="both"/>
            </w:pPr>
            <w:r>
              <w:t>E</w:t>
            </w:r>
            <w:r w:rsidR="00063AB3">
              <w:t>ducation et loisirs.</w:t>
            </w:r>
          </w:p>
        </w:tc>
      </w:tr>
      <w:tr w:rsidR="009D1348" w:rsidRPr="009D1348" w:rsidTr="0037089D">
        <w:tc>
          <w:tcPr>
            <w:tcW w:w="9047" w:type="dxa"/>
            <w:tcBorders>
              <w:left w:val="nil"/>
              <w:right w:val="nil"/>
            </w:tcBorders>
          </w:tcPr>
          <w:p w:rsidR="00AA033E" w:rsidRDefault="00AA033E" w:rsidP="0090322C">
            <w:pPr>
              <w:jc w:val="both"/>
              <w:rPr>
                <w:sz w:val="6"/>
              </w:rPr>
            </w:pPr>
          </w:p>
          <w:p w:rsidR="0037089D" w:rsidRDefault="0037089D" w:rsidP="0090322C">
            <w:pPr>
              <w:jc w:val="both"/>
              <w:rPr>
                <w:sz w:val="6"/>
              </w:rPr>
            </w:pPr>
          </w:p>
          <w:p w:rsidR="0037089D" w:rsidRPr="00016575" w:rsidRDefault="0037089D" w:rsidP="0090322C">
            <w:pPr>
              <w:jc w:val="both"/>
              <w:rPr>
                <w:sz w:val="6"/>
              </w:rPr>
            </w:pPr>
          </w:p>
        </w:tc>
      </w:tr>
      <w:tr w:rsidR="009D1348" w:rsidRPr="009D1348" w:rsidTr="0037089D">
        <w:tc>
          <w:tcPr>
            <w:tcW w:w="9047" w:type="dxa"/>
          </w:tcPr>
          <w:p w:rsidR="00AA033E" w:rsidRPr="009D1348" w:rsidRDefault="00AA033E" w:rsidP="0090322C">
            <w:pPr>
              <w:jc w:val="both"/>
            </w:pPr>
            <w:r w:rsidRPr="009D1348">
              <w:rPr>
                <w:u w:val="single"/>
              </w:rPr>
              <w:t xml:space="preserve">Description </w:t>
            </w:r>
            <w:r w:rsidR="003E1E41">
              <w:rPr>
                <w:u w:val="single"/>
              </w:rPr>
              <w:t>du projet</w:t>
            </w:r>
            <w:r w:rsidRPr="009D1348">
              <w:t> :</w:t>
            </w:r>
          </w:p>
          <w:p w:rsidR="00C97EDF" w:rsidRDefault="00C97EDF" w:rsidP="0090322C">
            <w:pPr>
              <w:jc w:val="both"/>
            </w:pPr>
          </w:p>
          <w:p w:rsidR="006D37ED" w:rsidRDefault="006D37ED" w:rsidP="0090322C">
            <w:pPr>
              <w:jc w:val="both"/>
            </w:pPr>
            <w:r>
              <w:t xml:space="preserve">La Fédération Générale des PEP initie une vaste recherche de terrain </w:t>
            </w:r>
            <w:r w:rsidR="00CC4A57">
              <w:t xml:space="preserve">avec le soutien financier de </w:t>
            </w:r>
            <w:r>
              <w:t>la Caisse Nationale de Solidarité pour l’Autonomie (CNSA)</w:t>
            </w:r>
            <w:r w:rsidR="00FD475E">
              <w:t>,</w:t>
            </w:r>
            <w:r>
              <w:t xml:space="preserve"> visant à favoriser</w:t>
            </w:r>
            <w:r w:rsidR="00FD475E">
              <w:t xml:space="preserve"> l’accès des personnes handicapées aux loisirs choisis</w:t>
            </w:r>
            <w:r w:rsidR="00FA663C">
              <w:t>, dans une démarche inclusive</w:t>
            </w:r>
            <w:r w:rsidR="00FD475E">
              <w:t>.</w:t>
            </w:r>
            <w:r>
              <w:t xml:space="preserve"> </w:t>
            </w:r>
          </w:p>
          <w:p w:rsidR="006D37ED" w:rsidRDefault="006D37ED" w:rsidP="0090322C">
            <w:pPr>
              <w:jc w:val="both"/>
            </w:pPr>
          </w:p>
          <w:p w:rsidR="00C97EDF" w:rsidRDefault="00FD475E" w:rsidP="00FA663C">
            <w:pPr>
              <w:jc w:val="both"/>
            </w:pPr>
            <w:r>
              <w:t>Dans ce cadre, le projet porté par la FGPEP vise</w:t>
            </w:r>
            <w:r w:rsidR="00C97EDF" w:rsidRPr="00C97EDF">
              <w:t xml:space="preserve"> à identifier les processus limitant ou favorisant l’expression des désirs et aspirations des personnes en situation de handicap</w:t>
            </w:r>
            <w:r w:rsidR="00FA663C">
              <w:t xml:space="preserve"> d’une part, et d’autre part, </w:t>
            </w:r>
            <w:r>
              <w:t xml:space="preserve">à </w:t>
            </w:r>
            <w:r w:rsidR="00C97EDF" w:rsidRPr="00C97EDF">
              <w:t>proposer et expérimenter un modèle de plateforme</w:t>
            </w:r>
            <w:r w:rsidR="00934653">
              <w:t xml:space="preserve"> territoriale</w:t>
            </w:r>
            <w:r w:rsidR="00C97EDF" w:rsidRPr="00C97EDF">
              <w:t>, répond</w:t>
            </w:r>
            <w:r w:rsidR="00FA663C">
              <w:t>ant</w:t>
            </w:r>
            <w:r w:rsidR="00C97EDF" w:rsidRPr="00C97EDF">
              <w:t xml:space="preserve"> </w:t>
            </w:r>
            <w:r w:rsidR="00FA663C">
              <w:t xml:space="preserve">à leurs choix et </w:t>
            </w:r>
            <w:r w:rsidR="00C97EDF" w:rsidRPr="00C97EDF">
              <w:t xml:space="preserve"> aspirations.</w:t>
            </w:r>
          </w:p>
          <w:p w:rsidR="00063AB3" w:rsidRDefault="00063AB3" w:rsidP="0090322C">
            <w:pPr>
              <w:jc w:val="both"/>
            </w:pPr>
          </w:p>
          <w:p w:rsidR="00934653" w:rsidRDefault="00063AB3" w:rsidP="0090322C">
            <w:pPr>
              <w:jc w:val="both"/>
            </w:pPr>
            <w:r>
              <w:t>Dans cet objectif, l’étude portera sur l’analyse croisée d’entretiens et de monographies de dispositifs territoriaux d’accompagnement aux loisirs.</w:t>
            </w:r>
          </w:p>
          <w:p w:rsidR="00063AB3" w:rsidRDefault="00063AB3" w:rsidP="0090322C">
            <w:pPr>
              <w:jc w:val="both"/>
            </w:pPr>
          </w:p>
          <w:p w:rsidR="00934653" w:rsidRDefault="00934653" w:rsidP="00934653">
            <w:pPr>
              <w:jc w:val="both"/>
            </w:pPr>
            <w:r>
              <w:t xml:space="preserve">Pour </w:t>
            </w:r>
            <w:bookmarkStart w:id="0" w:name="_GoBack"/>
            <w:r>
              <w:t>la réalisation de cette recherche action, la FGPEP s’est associée l’expertise de plusieurs institutions reconnues en sciences sociales, dans les champs du sanitaire et du médico-social, dont l’Ecole des Hautes Etudes en Santé Publique (EHESP), l’Université de Lyon 2 et l’Association-réseau PRISME, ainsi que celles du  Ministère de la Ville, de la Jeunesse et des Sports, du Secrétariat d’Etat chargé des personnes handicapées et de la lutte contre l’exclusion, de la Caisse nationale des Allocations familiales (Cnaf), et du Comité Interministériel au Handicap (CIH).</w:t>
            </w:r>
            <w:bookmarkEnd w:id="0"/>
          </w:p>
          <w:p w:rsidR="00C97EDF" w:rsidRDefault="00934653" w:rsidP="0090322C">
            <w:pPr>
              <w:jc w:val="both"/>
            </w:pPr>
            <w:r>
              <w:lastRenderedPageBreak/>
              <w:t xml:space="preserve">   </w:t>
            </w:r>
          </w:p>
          <w:p w:rsidR="004224C9" w:rsidRPr="009D1348" w:rsidRDefault="004224C9" w:rsidP="004224C9">
            <w:pPr>
              <w:jc w:val="both"/>
            </w:pPr>
            <w:r w:rsidRPr="009D1348">
              <w:rPr>
                <w:u w:val="single"/>
              </w:rPr>
              <w:t xml:space="preserve">Description </w:t>
            </w:r>
            <w:r>
              <w:rPr>
                <w:u w:val="single"/>
              </w:rPr>
              <w:t>de l’offre</w:t>
            </w:r>
            <w:r w:rsidRPr="009D1348">
              <w:t> :</w:t>
            </w:r>
          </w:p>
          <w:p w:rsidR="004224C9" w:rsidRDefault="004224C9" w:rsidP="0090322C">
            <w:pPr>
              <w:jc w:val="both"/>
            </w:pPr>
          </w:p>
          <w:p w:rsidR="003F5E5C" w:rsidRDefault="00C97EDF" w:rsidP="0090322C">
            <w:pPr>
              <w:jc w:val="both"/>
            </w:pPr>
            <w:r>
              <w:t>Rattaché</w:t>
            </w:r>
            <w:r w:rsidR="00CC4A57">
              <w:t xml:space="preserve"> </w:t>
            </w:r>
            <w:r>
              <w:t xml:space="preserve">aux </w:t>
            </w:r>
            <w:r w:rsidR="005B5953">
              <w:t>services</w:t>
            </w:r>
            <w:r>
              <w:t xml:space="preserve"> </w:t>
            </w:r>
            <w:r w:rsidR="00E63F88">
              <w:t>de la FG PEP et sous</w:t>
            </w:r>
            <w:r w:rsidR="00E63F88">
              <w:rPr>
                <w:rFonts w:eastAsia="Times New Roman"/>
              </w:rPr>
              <w:t xml:space="preserve"> la responsabilité des deux chefs de projets co-pilotes de l’étude, le </w:t>
            </w:r>
            <w:r w:rsidR="00063AB3">
              <w:t>c</w:t>
            </w:r>
            <w:r w:rsidR="00CC4A57" w:rsidRPr="00CC4A57">
              <w:t>oordonnateur de recherche</w:t>
            </w:r>
            <w:r w:rsidR="000F76AA" w:rsidRPr="009D1348">
              <w:t xml:space="preserve"> aura pour mission</w:t>
            </w:r>
            <w:r w:rsidR="003F5E5C">
              <w:t>s :</w:t>
            </w:r>
          </w:p>
          <w:p w:rsidR="003F5E5C" w:rsidRDefault="003F5E5C" w:rsidP="003F5E5C">
            <w:pPr>
              <w:pStyle w:val="Paragraphedeliste"/>
              <w:numPr>
                <w:ilvl w:val="0"/>
                <w:numId w:val="1"/>
              </w:numPr>
              <w:jc w:val="both"/>
            </w:pPr>
            <w:r>
              <w:t xml:space="preserve">la coordination </w:t>
            </w:r>
            <w:r w:rsidR="00063AB3">
              <w:t xml:space="preserve">des équipes de recherche en charge de la réalisation des travaux portant </w:t>
            </w:r>
            <w:r>
              <w:t>sur les deux axes du projet</w:t>
            </w:r>
          </w:p>
          <w:p w:rsidR="003F5E5C" w:rsidRDefault="003F5E5C" w:rsidP="003F5E5C">
            <w:pPr>
              <w:pStyle w:val="Paragraphedeliste"/>
              <w:numPr>
                <w:ilvl w:val="0"/>
                <w:numId w:val="6"/>
              </w:numPr>
              <w:jc w:val="both"/>
            </w:pPr>
            <w:r>
              <w:t>l’analyse (analyse croisée)</w:t>
            </w:r>
            <w:r w:rsidR="005A27E5">
              <w:t xml:space="preserve"> </w:t>
            </w:r>
            <w:r>
              <w:t xml:space="preserve">et la synthèse des résultats </w:t>
            </w:r>
          </w:p>
          <w:p w:rsidR="003F5E5C" w:rsidRDefault="003F5E5C" w:rsidP="003F5E5C">
            <w:pPr>
              <w:pStyle w:val="Paragraphedeliste"/>
              <w:numPr>
                <w:ilvl w:val="0"/>
                <w:numId w:val="6"/>
              </w:numPr>
              <w:jc w:val="both"/>
            </w:pPr>
            <w:r>
              <w:t>la rédaction des rapports intermédiaire et final du projet</w:t>
            </w:r>
          </w:p>
          <w:p w:rsidR="003F5E5C" w:rsidRDefault="008F75C8" w:rsidP="003F5E5C">
            <w:pPr>
              <w:pStyle w:val="Paragraphedeliste"/>
              <w:numPr>
                <w:ilvl w:val="0"/>
                <w:numId w:val="6"/>
              </w:numPr>
              <w:jc w:val="both"/>
            </w:pPr>
            <w:r>
              <w:t>la présentation des résultats intermédiaires et finaux au conseil d’administration et partenaires</w:t>
            </w:r>
          </w:p>
          <w:p w:rsidR="00AC7819" w:rsidRPr="009D1348" w:rsidRDefault="00063AB3" w:rsidP="008F75C8">
            <w:pPr>
              <w:jc w:val="both"/>
            </w:pPr>
            <w:r>
              <w:t>Déplacements sur les territoires d’étude</w:t>
            </w:r>
            <w:r w:rsidR="00FA663C">
              <w:t>.</w:t>
            </w:r>
            <w:r w:rsidR="00EF6EDA">
              <w:t xml:space="preserve"> </w:t>
            </w:r>
          </w:p>
        </w:tc>
      </w:tr>
    </w:tbl>
    <w:p w:rsidR="005221A3" w:rsidRDefault="005221A3">
      <w:r>
        <w:lastRenderedPageBreak/>
        <w:br w:type="page"/>
      </w:r>
    </w:p>
    <w:tbl>
      <w:tblPr>
        <w:tblStyle w:val="Grilledutableau"/>
        <w:tblW w:w="0" w:type="auto"/>
        <w:tblInd w:w="10" w:type="dxa"/>
        <w:tblLook w:val="04A0" w:firstRow="1" w:lastRow="0" w:firstColumn="1" w:lastColumn="0" w:noHBand="0" w:noVBand="1"/>
      </w:tblPr>
      <w:tblGrid>
        <w:gridCol w:w="9052"/>
      </w:tblGrid>
      <w:tr w:rsidR="00063AB3" w:rsidRPr="009D1348" w:rsidTr="005221A3">
        <w:tc>
          <w:tcPr>
            <w:tcW w:w="9052" w:type="dxa"/>
            <w:tcBorders>
              <w:bottom w:val="single" w:sz="4" w:space="0" w:color="auto"/>
            </w:tcBorders>
          </w:tcPr>
          <w:p w:rsidR="00063AB3" w:rsidRDefault="00063AB3" w:rsidP="00E37D0A">
            <w:pPr>
              <w:jc w:val="both"/>
            </w:pPr>
            <w:r w:rsidRPr="009D1348">
              <w:rPr>
                <w:u w:val="single"/>
              </w:rPr>
              <w:lastRenderedPageBreak/>
              <w:t>Profil/compétences attendues</w:t>
            </w:r>
            <w:r w:rsidRPr="009D1348">
              <w:t> :</w:t>
            </w:r>
          </w:p>
          <w:p w:rsidR="00E63F88" w:rsidRPr="009D1348" w:rsidRDefault="00E63F88" w:rsidP="00E37D0A">
            <w:pPr>
              <w:jc w:val="both"/>
            </w:pPr>
          </w:p>
          <w:p w:rsidR="00E63F88" w:rsidRPr="00E63F88" w:rsidRDefault="00E63F88" w:rsidP="00E63F88">
            <w:pPr>
              <w:pStyle w:val="Paragraphedeliste"/>
              <w:numPr>
                <w:ilvl w:val="0"/>
                <w:numId w:val="1"/>
              </w:numPr>
              <w:jc w:val="both"/>
              <w:rPr>
                <w:szCs w:val="24"/>
              </w:rPr>
            </w:pPr>
            <w:r w:rsidRPr="00E63F88">
              <w:rPr>
                <w:rFonts w:eastAsia="Times New Roman"/>
              </w:rPr>
              <w:t>3</w:t>
            </w:r>
            <w:r w:rsidRPr="00E63F88">
              <w:rPr>
                <w:rFonts w:eastAsia="Times New Roman"/>
                <w:vertAlign w:val="superscript"/>
              </w:rPr>
              <w:t>éme</w:t>
            </w:r>
            <w:r w:rsidRPr="00E63F88">
              <w:rPr>
                <w:rFonts w:eastAsia="Times New Roman"/>
              </w:rPr>
              <w:t xml:space="preserve"> cycle en sciences sociales exigé</w:t>
            </w:r>
          </w:p>
          <w:p w:rsidR="00063AB3" w:rsidRDefault="00063AB3" w:rsidP="00E37D0A">
            <w:pPr>
              <w:pStyle w:val="Paragraphedeliste"/>
              <w:numPr>
                <w:ilvl w:val="0"/>
                <w:numId w:val="1"/>
              </w:numPr>
              <w:jc w:val="both"/>
              <w:rPr>
                <w:szCs w:val="24"/>
              </w:rPr>
            </w:pPr>
            <w:r>
              <w:rPr>
                <w:szCs w:val="24"/>
              </w:rPr>
              <w:t xml:space="preserve">Expertise et expérience </w:t>
            </w:r>
            <w:r w:rsidR="00E63F88">
              <w:rPr>
                <w:szCs w:val="24"/>
              </w:rPr>
              <w:t xml:space="preserve">indispensable </w:t>
            </w:r>
            <w:r>
              <w:rPr>
                <w:szCs w:val="24"/>
              </w:rPr>
              <w:t>dans la conduite de recherche en sciences sociales</w:t>
            </w:r>
          </w:p>
          <w:p w:rsidR="00E63F88" w:rsidRDefault="00E63F88" w:rsidP="00E63F88">
            <w:pPr>
              <w:pStyle w:val="Paragraphedeliste"/>
              <w:numPr>
                <w:ilvl w:val="0"/>
                <w:numId w:val="1"/>
              </w:numPr>
              <w:jc w:val="both"/>
              <w:rPr>
                <w:szCs w:val="24"/>
              </w:rPr>
            </w:pPr>
            <w:r>
              <w:rPr>
                <w:szCs w:val="24"/>
              </w:rPr>
              <w:t xml:space="preserve">Capacité à coordonner </w:t>
            </w:r>
            <w:r w:rsidR="002E2938">
              <w:rPr>
                <w:szCs w:val="24"/>
              </w:rPr>
              <w:t>des équipes de</w:t>
            </w:r>
            <w:r>
              <w:rPr>
                <w:szCs w:val="24"/>
              </w:rPr>
              <w:t xml:space="preserve"> recherche</w:t>
            </w:r>
          </w:p>
          <w:p w:rsidR="002E2938" w:rsidRPr="002E2938" w:rsidRDefault="002E2938" w:rsidP="00E63F88">
            <w:pPr>
              <w:pStyle w:val="Paragraphedeliste"/>
              <w:numPr>
                <w:ilvl w:val="0"/>
                <w:numId w:val="1"/>
              </w:numPr>
              <w:jc w:val="both"/>
              <w:rPr>
                <w:szCs w:val="24"/>
              </w:rPr>
            </w:pPr>
            <w:r w:rsidRPr="002E2938">
              <w:t>Qualités organisationnelles et autonomie requise</w:t>
            </w:r>
          </w:p>
          <w:p w:rsidR="00063AB3" w:rsidRPr="00533AB0" w:rsidRDefault="00063AB3" w:rsidP="00E37D0A">
            <w:pPr>
              <w:pStyle w:val="Paragraphedeliste"/>
              <w:numPr>
                <w:ilvl w:val="0"/>
                <w:numId w:val="1"/>
              </w:numPr>
              <w:jc w:val="both"/>
              <w:rPr>
                <w:szCs w:val="24"/>
              </w:rPr>
            </w:pPr>
            <w:r w:rsidRPr="00D71A63">
              <w:rPr>
                <w:szCs w:val="24"/>
              </w:rPr>
              <w:t xml:space="preserve">Maitrise des méthodologies d’enquête et d’entretien </w:t>
            </w:r>
          </w:p>
          <w:p w:rsidR="00063AB3" w:rsidRDefault="00063AB3" w:rsidP="00E37D0A">
            <w:pPr>
              <w:pStyle w:val="Paragraphedeliste"/>
              <w:numPr>
                <w:ilvl w:val="0"/>
                <w:numId w:val="1"/>
              </w:numPr>
              <w:jc w:val="both"/>
              <w:rPr>
                <w:szCs w:val="24"/>
              </w:rPr>
            </w:pPr>
            <w:r>
              <w:rPr>
                <w:szCs w:val="24"/>
              </w:rPr>
              <w:t>Capacité à construire une problématique et produire une analyse en relation avec des acteurs de terrain</w:t>
            </w:r>
          </w:p>
          <w:p w:rsidR="00063AB3" w:rsidRDefault="00063AB3" w:rsidP="00E37D0A">
            <w:pPr>
              <w:pStyle w:val="Paragraphedeliste"/>
              <w:numPr>
                <w:ilvl w:val="0"/>
                <w:numId w:val="1"/>
              </w:numPr>
              <w:jc w:val="both"/>
              <w:rPr>
                <w:szCs w:val="24"/>
              </w:rPr>
            </w:pPr>
            <w:r>
              <w:rPr>
                <w:szCs w:val="24"/>
              </w:rPr>
              <w:t>Connaissance de la mét</w:t>
            </w:r>
            <w:r w:rsidR="005221A3">
              <w:rPr>
                <w:szCs w:val="24"/>
              </w:rPr>
              <w:t>h</w:t>
            </w:r>
            <w:r>
              <w:rPr>
                <w:szCs w:val="24"/>
              </w:rPr>
              <w:t>o</w:t>
            </w:r>
            <w:r w:rsidR="005221A3">
              <w:rPr>
                <w:szCs w:val="24"/>
              </w:rPr>
              <w:t>do</w:t>
            </w:r>
            <w:r>
              <w:rPr>
                <w:szCs w:val="24"/>
              </w:rPr>
              <w:t>logie de réalisation de diagnostics territoriaux</w:t>
            </w:r>
          </w:p>
          <w:p w:rsidR="002E2938" w:rsidRDefault="002E2938" w:rsidP="002E2938">
            <w:pPr>
              <w:pStyle w:val="Paragraphedeliste"/>
              <w:jc w:val="both"/>
              <w:rPr>
                <w:szCs w:val="24"/>
              </w:rPr>
            </w:pPr>
          </w:p>
          <w:p w:rsidR="00063AB3" w:rsidRPr="005221A3" w:rsidRDefault="00063AB3" w:rsidP="005221A3">
            <w:pPr>
              <w:ind w:left="360"/>
              <w:jc w:val="both"/>
              <w:rPr>
                <w:szCs w:val="24"/>
              </w:rPr>
            </w:pPr>
            <w:r w:rsidRPr="005221A3">
              <w:rPr>
                <w:szCs w:val="24"/>
              </w:rPr>
              <w:t>Une connaissance des politiques publiques liées au handicap et à l’autonomie serait un atout</w:t>
            </w:r>
          </w:p>
          <w:p w:rsidR="00063AB3" w:rsidRPr="009D1348" w:rsidRDefault="00063AB3" w:rsidP="005221A3">
            <w:pPr>
              <w:jc w:val="both"/>
            </w:pPr>
          </w:p>
        </w:tc>
      </w:tr>
      <w:tr w:rsidR="005221A3" w:rsidRPr="009D1348" w:rsidTr="005221A3">
        <w:tc>
          <w:tcPr>
            <w:tcW w:w="9052" w:type="dxa"/>
            <w:tcBorders>
              <w:left w:val="nil"/>
              <w:bottom w:val="single" w:sz="4" w:space="0" w:color="auto"/>
              <w:right w:val="nil"/>
            </w:tcBorders>
          </w:tcPr>
          <w:p w:rsidR="005221A3" w:rsidRPr="009D1348" w:rsidRDefault="005221A3" w:rsidP="00E37D0A">
            <w:pPr>
              <w:jc w:val="both"/>
              <w:rPr>
                <w:u w:val="single"/>
              </w:rPr>
            </w:pPr>
          </w:p>
        </w:tc>
      </w:tr>
      <w:tr w:rsidR="009D1348" w:rsidRPr="009D1348" w:rsidTr="005221A3">
        <w:tc>
          <w:tcPr>
            <w:tcW w:w="9052" w:type="dxa"/>
            <w:tcBorders>
              <w:bottom w:val="single" w:sz="4" w:space="0" w:color="auto"/>
            </w:tcBorders>
          </w:tcPr>
          <w:p w:rsidR="002E2938" w:rsidRDefault="005221A3" w:rsidP="004B6DB5">
            <w:pPr>
              <w:jc w:val="both"/>
            </w:pPr>
            <w:r>
              <w:rPr>
                <w:u w:val="single"/>
              </w:rPr>
              <w:t>Nature du contrat </w:t>
            </w:r>
            <w:r w:rsidR="002E2938">
              <w:rPr>
                <w:u w:val="single"/>
              </w:rPr>
              <w:t>et rémunération</w:t>
            </w:r>
            <w:r w:rsidRPr="005221A3">
              <w:t xml:space="preserve">: </w:t>
            </w:r>
          </w:p>
          <w:p w:rsidR="00AE5D07" w:rsidRDefault="005221A3" w:rsidP="002E2938">
            <w:pPr>
              <w:pStyle w:val="Paragraphedeliste"/>
              <w:numPr>
                <w:ilvl w:val="0"/>
                <w:numId w:val="1"/>
              </w:numPr>
              <w:jc w:val="both"/>
            </w:pPr>
            <w:r w:rsidRPr="005221A3">
              <w:t xml:space="preserve">CDD </w:t>
            </w:r>
            <w:r w:rsidRPr="005A27E5">
              <w:t xml:space="preserve">à </w:t>
            </w:r>
            <w:r w:rsidR="005A27E5" w:rsidRPr="005A27E5">
              <w:t xml:space="preserve"> </w:t>
            </w:r>
            <w:r w:rsidR="00AE5D07">
              <w:t>mi-temps</w:t>
            </w:r>
          </w:p>
          <w:p w:rsidR="005221A3" w:rsidRDefault="00AE5D07" w:rsidP="002E2938">
            <w:pPr>
              <w:pStyle w:val="Paragraphedeliste"/>
              <w:numPr>
                <w:ilvl w:val="0"/>
                <w:numId w:val="1"/>
              </w:numPr>
              <w:jc w:val="both"/>
            </w:pPr>
            <w:r>
              <w:t xml:space="preserve">Salaire brut mensuel : </w:t>
            </w:r>
            <w:r w:rsidR="002E2938">
              <w:t>[1200€-1400</w:t>
            </w:r>
            <w:r>
              <w:t>€]</w:t>
            </w:r>
          </w:p>
          <w:p w:rsidR="002E2938" w:rsidRDefault="002E2938" w:rsidP="002E2938">
            <w:pPr>
              <w:pStyle w:val="Paragraphedeliste"/>
              <w:numPr>
                <w:ilvl w:val="0"/>
                <w:numId w:val="1"/>
              </w:numPr>
              <w:jc w:val="both"/>
            </w:pPr>
            <w:r>
              <w:t>CCN 89</w:t>
            </w:r>
          </w:p>
          <w:p w:rsidR="002E2938" w:rsidRDefault="002E2938" w:rsidP="002E2938">
            <w:pPr>
              <w:pStyle w:val="Paragraphedeliste"/>
              <w:numPr>
                <w:ilvl w:val="0"/>
                <w:numId w:val="1"/>
              </w:numPr>
              <w:jc w:val="both"/>
            </w:pPr>
            <w:r>
              <w:t>Tickets restaurant</w:t>
            </w:r>
          </w:p>
          <w:p w:rsidR="005221A3" w:rsidRDefault="005221A3" w:rsidP="004B6DB5">
            <w:pPr>
              <w:jc w:val="both"/>
            </w:pPr>
          </w:p>
          <w:p w:rsidR="005221A3" w:rsidRPr="005221A3" w:rsidRDefault="005221A3" w:rsidP="004B6DB5">
            <w:pPr>
              <w:jc w:val="both"/>
            </w:pPr>
            <w:r w:rsidRPr="005221A3">
              <w:rPr>
                <w:u w:val="single"/>
              </w:rPr>
              <w:t>Durée du contrat</w:t>
            </w:r>
            <w:r>
              <w:t> : 2</w:t>
            </w:r>
            <w:r w:rsidR="005A27E5">
              <w:t xml:space="preserve"> </w:t>
            </w:r>
            <w:r>
              <w:t xml:space="preserve">ans  </w:t>
            </w:r>
            <w:r w:rsidRPr="005221A3">
              <w:rPr>
                <w:i/>
                <w:sz w:val="20"/>
              </w:rPr>
              <w:t>(fév. 2017 à fév. 2018)</w:t>
            </w:r>
          </w:p>
          <w:p w:rsidR="005221A3" w:rsidRPr="009D1348" w:rsidRDefault="005221A3" w:rsidP="002E2938">
            <w:pPr>
              <w:jc w:val="both"/>
            </w:pPr>
          </w:p>
        </w:tc>
      </w:tr>
      <w:tr w:rsidR="00C16379" w:rsidRPr="009D1348" w:rsidTr="005221A3">
        <w:tc>
          <w:tcPr>
            <w:tcW w:w="9052" w:type="dxa"/>
            <w:tcBorders>
              <w:left w:val="nil"/>
              <w:right w:val="nil"/>
            </w:tcBorders>
          </w:tcPr>
          <w:p w:rsidR="00C16379" w:rsidRPr="00C16379" w:rsidRDefault="00C16379" w:rsidP="0090322C">
            <w:pPr>
              <w:jc w:val="both"/>
              <w:rPr>
                <w:u w:val="single"/>
              </w:rPr>
            </w:pPr>
          </w:p>
        </w:tc>
      </w:tr>
      <w:tr w:rsidR="009D1348" w:rsidRPr="009D1348" w:rsidTr="005221A3">
        <w:tc>
          <w:tcPr>
            <w:tcW w:w="9052" w:type="dxa"/>
            <w:tcBorders>
              <w:bottom w:val="nil"/>
            </w:tcBorders>
            <w:shd w:val="clear" w:color="auto" w:fill="A6A6A6" w:themeFill="background1" w:themeFillShade="A6"/>
          </w:tcPr>
          <w:p w:rsidR="002E2938" w:rsidRPr="002E2938" w:rsidRDefault="002E2938" w:rsidP="009D1348">
            <w:pPr>
              <w:pStyle w:val="Default"/>
              <w:jc w:val="both"/>
              <w:rPr>
                <w:rFonts w:asciiTheme="minorHAnsi" w:hAnsiTheme="minorHAnsi"/>
                <w:b/>
                <w:sz w:val="22"/>
                <w:szCs w:val="22"/>
                <w:u w:val="single"/>
              </w:rPr>
            </w:pPr>
            <w:r w:rsidRPr="002E2938">
              <w:rPr>
                <w:rFonts w:asciiTheme="minorHAnsi" w:hAnsiTheme="minorHAnsi"/>
                <w:b/>
                <w:sz w:val="22"/>
                <w:szCs w:val="22"/>
                <w:u w:val="single"/>
              </w:rPr>
              <w:t xml:space="preserve">Merci d’adresser votre candidature </w:t>
            </w:r>
            <w:r w:rsidRPr="002E2938">
              <w:rPr>
                <w:rFonts w:asciiTheme="minorHAnsi" w:hAnsiTheme="minorHAnsi"/>
                <w:sz w:val="22"/>
                <w:szCs w:val="22"/>
                <w:u w:val="single"/>
              </w:rPr>
              <w:t>(LM et CV)</w:t>
            </w:r>
            <w:r w:rsidRPr="002E2938">
              <w:rPr>
                <w:rFonts w:asciiTheme="minorHAnsi" w:hAnsiTheme="minorHAnsi"/>
                <w:b/>
                <w:sz w:val="22"/>
                <w:szCs w:val="22"/>
                <w:u w:val="single"/>
              </w:rPr>
              <w:t xml:space="preserve"> à :</w:t>
            </w:r>
          </w:p>
          <w:p w:rsidR="002E2938" w:rsidRDefault="002E2938" w:rsidP="009D1348">
            <w:pPr>
              <w:pStyle w:val="Default"/>
              <w:jc w:val="both"/>
              <w:rPr>
                <w:rFonts w:asciiTheme="minorHAnsi" w:hAnsiTheme="minorHAnsi"/>
                <w:sz w:val="22"/>
                <w:szCs w:val="22"/>
              </w:rPr>
            </w:pPr>
          </w:p>
          <w:p w:rsidR="009D1348" w:rsidRPr="008152F1" w:rsidRDefault="0010107C" w:rsidP="009D1348">
            <w:pPr>
              <w:pStyle w:val="Default"/>
              <w:jc w:val="both"/>
              <w:rPr>
                <w:rFonts w:asciiTheme="minorHAnsi" w:hAnsiTheme="minorHAnsi"/>
                <w:sz w:val="22"/>
                <w:szCs w:val="22"/>
              </w:rPr>
            </w:pPr>
            <w:r w:rsidRPr="005A27E5">
              <w:rPr>
                <w:rFonts w:asciiTheme="minorHAnsi" w:hAnsiTheme="minorHAnsi"/>
                <w:b/>
                <w:sz w:val="22"/>
                <w:szCs w:val="22"/>
              </w:rPr>
              <w:t>Jessica DANET</w:t>
            </w:r>
          </w:p>
          <w:p w:rsidR="002E2938" w:rsidRDefault="002E2938" w:rsidP="0090322C">
            <w:pPr>
              <w:jc w:val="both"/>
            </w:pPr>
            <w:r>
              <w:t>A</w:t>
            </w:r>
            <w:r w:rsidR="009D1348" w:rsidRPr="008152F1">
              <w:t>ssistante du D</w:t>
            </w:r>
            <w:r w:rsidR="0010107C">
              <w:t xml:space="preserve">omaine </w:t>
            </w:r>
            <w:r w:rsidR="009D1348" w:rsidRPr="008152F1">
              <w:t>S</w:t>
            </w:r>
            <w:r w:rsidR="0010107C">
              <w:t xml:space="preserve">ocial et </w:t>
            </w:r>
            <w:r w:rsidR="009D1348" w:rsidRPr="008152F1">
              <w:t>M</w:t>
            </w:r>
            <w:r w:rsidR="0010107C">
              <w:t>édico-Social</w:t>
            </w:r>
          </w:p>
          <w:p w:rsidR="00AA033E" w:rsidRPr="008152F1" w:rsidRDefault="009D1348" w:rsidP="0090322C">
            <w:pPr>
              <w:jc w:val="both"/>
            </w:pPr>
            <w:r w:rsidRPr="008152F1">
              <w:t>F</w:t>
            </w:r>
            <w:r w:rsidR="002E2938">
              <w:t xml:space="preserve">édération </w:t>
            </w:r>
            <w:r w:rsidRPr="008152F1">
              <w:t>G</w:t>
            </w:r>
            <w:r w:rsidR="002E2938">
              <w:t xml:space="preserve">énérale des </w:t>
            </w:r>
            <w:r w:rsidRPr="008152F1">
              <w:t>PEP</w:t>
            </w:r>
          </w:p>
          <w:p w:rsidR="009D1348" w:rsidRPr="008152F1" w:rsidRDefault="009D1348" w:rsidP="009D1348">
            <w:pPr>
              <w:jc w:val="both"/>
              <w:rPr>
                <w:rFonts w:eastAsia="Times New Roman" w:cs="Times New Roman"/>
                <w:lang w:eastAsia="fr-FR"/>
              </w:rPr>
            </w:pPr>
            <w:r w:rsidRPr="008152F1">
              <w:rPr>
                <w:rFonts w:eastAsia="Times New Roman" w:cs="Times New Roman"/>
                <w:lang w:eastAsia="fr-FR"/>
              </w:rPr>
              <w:t>5-7, rue Georges Enesco 94026 Créteil Cedex</w:t>
            </w:r>
          </w:p>
          <w:p w:rsidR="009D1348" w:rsidRPr="008152F1" w:rsidRDefault="009D1348" w:rsidP="009D1348">
            <w:pPr>
              <w:jc w:val="both"/>
              <w:rPr>
                <w:rFonts w:eastAsia="Times New Roman" w:cs="Times New Roman"/>
                <w:lang w:eastAsia="fr-FR"/>
              </w:rPr>
            </w:pPr>
            <w:r w:rsidRPr="008152F1">
              <w:rPr>
                <w:rFonts w:eastAsia="Times New Roman" w:cs="Times New Roman"/>
                <w:lang w:eastAsia="fr-FR"/>
              </w:rPr>
              <w:t>Tél : 01.41.78.92.85</w:t>
            </w:r>
          </w:p>
          <w:p w:rsidR="009D1348" w:rsidRPr="009D1348" w:rsidRDefault="009D1348" w:rsidP="0010107C">
            <w:pPr>
              <w:jc w:val="both"/>
            </w:pPr>
            <w:r w:rsidRPr="008152F1">
              <w:rPr>
                <w:rFonts w:eastAsia="Times New Roman" w:cs="Times New Roman"/>
                <w:lang w:eastAsia="fr-FR"/>
              </w:rPr>
              <w:t xml:space="preserve">e-mail : </w:t>
            </w:r>
            <w:hyperlink r:id="rId9" w:history="1">
              <w:r w:rsidR="0010107C" w:rsidRPr="00307E21">
                <w:rPr>
                  <w:rStyle w:val="Lienhypertexte"/>
                  <w:rFonts w:eastAsia="Times New Roman" w:cs="Times New Roman"/>
                  <w:lang w:eastAsia="fr-FR"/>
                </w:rPr>
                <w:t>secretariat.dsms@lespep.org</w:t>
              </w:r>
            </w:hyperlink>
            <w:r w:rsidR="0010107C">
              <w:rPr>
                <w:rStyle w:val="Lienhypertexte"/>
                <w:rFonts w:eastAsia="Times New Roman" w:cs="Times New Roman"/>
                <w:lang w:eastAsia="fr-FR"/>
              </w:rPr>
              <w:t xml:space="preserve"> </w:t>
            </w:r>
            <w:r>
              <w:rPr>
                <w:rFonts w:eastAsia="Times New Roman" w:cs="Times New Roman"/>
                <w:sz w:val="24"/>
                <w:szCs w:val="24"/>
                <w:lang w:eastAsia="fr-FR"/>
              </w:rPr>
              <w:t xml:space="preserve"> </w:t>
            </w:r>
            <w:r w:rsidRPr="009D1348">
              <w:t xml:space="preserve"> </w:t>
            </w:r>
          </w:p>
        </w:tc>
      </w:tr>
    </w:tbl>
    <w:p w:rsidR="00AA033E" w:rsidRPr="009D1348" w:rsidRDefault="00AA033E" w:rsidP="008152F1">
      <w:pPr>
        <w:jc w:val="both"/>
      </w:pPr>
    </w:p>
    <w:sectPr w:rsidR="00AA033E" w:rsidRPr="009D134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B39" w:rsidRDefault="00BE0B39" w:rsidP="008152F1">
      <w:pPr>
        <w:spacing w:after="0" w:line="240" w:lineRule="auto"/>
      </w:pPr>
      <w:r>
        <w:separator/>
      </w:r>
    </w:p>
  </w:endnote>
  <w:endnote w:type="continuationSeparator" w:id="0">
    <w:p w:rsidR="00BE0B39" w:rsidRDefault="00BE0B39" w:rsidP="0081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E5" w:rsidRPr="005A27E5" w:rsidRDefault="00E414C4" w:rsidP="005A27E5">
    <w:pPr>
      <w:pStyle w:val="Pieddepage"/>
      <w:pBdr>
        <w:top w:val="thinThickSmallGap" w:sz="24" w:space="1" w:color="622423" w:themeColor="accent2" w:themeShade="7F"/>
      </w:pBdr>
      <w:jc w:val="center"/>
      <w:rPr>
        <w:rFonts w:asciiTheme="majorHAnsi" w:eastAsiaTheme="majorEastAsia" w:hAnsiTheme="majorHAnsi" w:cstheme="majorBidi"/>
        <w:color w:val="A6A6A6" w:themeColor="background1" w:themeShade="A6"/>
      </w:rPr>
    </w:pPr>
    <w:r w:rsidRPr="005A27E5">
      <w:rPr>
        <w:rFonts w:asciiTheme="majorHAnsi" w:eastAsiaTheme="majorEastAsia" w:hAnsiTheme="majorHAnsi" w:cstheme="majorBidi"/>
        <w:color w:val="A6A6A6" w:themeColor="background1" w:themeShade="A6"/>
      </w:rPr>
      <w:t xml:space="preserve">Offre </w:t>
    </w:r>
    <w:r w:rsidR="005A27E5" w:rsidRPr="005A27E5">
      <w:rPr>
        <w:rFonts w:asciiTheme="majorHAnsi" w:eastAsiaTheme="majorEastAsia" w:hAnsiTheme="majorHAnsi" w:cstheme="majorBidi"/>
        <w:color w:val="A6A6A6" w:themeColor="background1" w:themeShade="A6"/>
      </w:rPr>
      <w:t>d’emploi : Coordonnateur de recherche</w:t>
    </w:r>
  </w:p>
  <w:p w:rsidR="008152F1" w:rsidRDefault="005A27E5" w:rsidP="005A27E5">
    <w:pPr>
      <w:pStyle w:val="Pieddepage"/>
      <w:pBdr>
        <w:top w:val="thinThickSmallGap" w:sz="24" w:space="1" w:color="622423" w:themeColor="accent2" w:themeShade="7F"/>
      </w:pBdr>
      <w:jc w:val="center"/>
      <w:rPr>
        <w:rFonts w:asciiTheme="majorHAnsi" w:eastAsiaTheme="majorEastAsia" w:hAnsiTheme="majorHAnsi" w:cstheme="majorBidi"/>
      </w:rPr>
    </w:pPr>
    <w:r w:rsidRPr="005A27E5">
      <w:rPr>
        <w:rFonts w:asciiTheme="majorHAnsi" w:eastAsiaTheme="majorEastAsia" w:hAnsiTheme="majorHAnsi" w:cstheme="majorBidi"/>
        <w:color w:val="A6A6A6" w:themeColor="background1" w:themeShade="A6"/>
      </w:rPr>
      <w:tab/>
    </w:r>
    <w:r w:rsidR="00E414C4" w:rsidRPr="005A27E5">
      <w:rPr>
        <w:rFonts w:asciiTheme="majorHAnsi" w:eastAsiaTheme="majorEastAsia" w:hAnsiTheme="majorHAnsi" w:cstheme="majorBidi"/>
        <w:color w:val="A6A6A6" w:themeColor="background1" w:themeShade="A6"/>
      </w:rPr>
      <w:t>Fédération Générale des PEP</w:t>
    </w:r>
    <w:r w:rsidR="008152F1" w:rsidRPr="005A27E5">
      <w:rPr>
        <w:rFonts w:asciiTheme="majorHAnsi" w:eastAsiaTheme="majorEastAsia" w:hAnsiTheme="majorHAnsi" w:cstheme="majorBidi"/>
        <w:color w:val="A6A6A6" w:themeColor="background1" w:themeShade="A6"/>
      </w:rPr>
      <w:t xml:space="preserve"> </w:t>
    </w:r>
    <w:r w:rsidR="008152F1">
      <w:rPr>
        <w:rFonts w:asciiTheme="majorHAnsi" w:eastAsiaTheme="majorEastAsia" w:hAnsiTheme="majorHAnsi" w:cstheme="majorBidi"/>
      </w:rPr>
      <w:tab/>
    </w:r>
    <w:r w:rsidR="008152F1">
      <w:rPr>
        <w:rFonts w:asciiTheme="majorHAnsi" w:eastAsiaTheme="majorEastAsia" w:hAnsiTheme="majorHAnsi" w:cstheme="majorBidi"/>
      </w:rPr>
      <w:tab/>
      <w:t xml:space="preserve">Page </w:t>
    </w:r>
    <w:r w:rsidR="008152F1">
      <w:rPr>
        <w:rFonts w:eastAsiaTheme="minorEastAsia"/>
      </w:rPr>
      <w:fldChar w:fldCharType="begin"/>
    </w:r>
    <w:r w:rsidR="008152F1">
      <w:instrText>PAGE   \* MERGEFORMAT</w:instrText>
    </w:r>
    <w:r w:rsidR="008152F1">
      <w:rPr>
        <w:rFonts w:eastAsiaTheme="minorEastAsia"/>
      </w:rPr>
      <w:fldChar w:fldCharType="separate"/>
    </w:r>
    <w:r w:rsidR="00C669B8" w:rsidRPr="00C669B8">
      <w:rPr>
        <w:rFonts w:asciiTheme="majorHAnsi" w:eastAsiaTheme="majorEastAsia" w:hAnsiTheme="majorHAnsi" w:cstheme="majorBidi"/>
        <w:noProof/>
      </w:rPr>
      <w:t>1</w:t>
    </w:r>
    <w:r w:rsidR="008152F1">
      <w:rPr>
        <w:rFonts w:asciiTheme="majorHAnsi" w:eastAsiaTheme="majorEastAsia" w:hAnsiTheme="majorHAnsi" w:cstheme="majorBidi"/>
      </w:rPr>
      <w:fldChar w:fldCharType="end"/>
    </w:r>
  </w:p>
  <w:p w:rsidR="008152F1" w:rsidRDefault="008152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B39" w:rsidRDefault="00BE0B39" w:rsidP="008152F1">
      <w:pPr>
        <w:spacing w:after="0" w:line="240" w:lineRule="auto"/>
      </w:pPr>
      <w:r>
        <w:separator/>
      </w:r>
    </w:p>
  </w:footnote>
  <w:footnote w:type="continuationSeparator" w:id="0">
    <w:p w:rsidR="00BE0B39" w:rsidRDefault="00BE0B39" w:rsidP="00815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894EE876"/>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decimal"/>
      <w:isLgl/>
      <w:lvlText w:val="%3."/>
      <w:lvlJc w:val="left"/>
      <w:pPr>
        <w:tabs>
          <w:tab w:val="num" w:pos="1440"/>
        </w:tabs>
        <w:ind w:left="1440" w:firstLine="0"/>
      </w:pPr>
      <w:rPr>
        <w:rFonts w:hint="default"/>
        <w:position w:val="0"/>
      </w:rPr>
    </w:lvl>
    <w:lvl w:ilvl="3">
      <w:start w:val="1"/>
      <w:numFmt w:val="decimal"/>
      <w:isLgl/>
      <w:lvlText w:val="%3.%4."/>
      <w:lvlJc w:val="left"/>
      <w:pPr>
        <w:tabs>
          <w:tab w:val="num" w:pos="1440"/>
        </w:tabs>
        <w:ind w:left="1440" w:firstLine="720"/>
      </w:pPr>
      <w:rPr>
        <w:rFonts w:hint="default"/>
        <w:position w:val="0"/>
      </w:rPr>
    </w:lvl>
    <w:lvl w:ilvl="4">
      <w:start w:val="1"/>
      <w:numFmt w:val="decimal"/>
      <w:isLgl/>
      <w:lvlText w:val="%3.%4.%5."/>
      <w:lvlJc w:val="left"/>
      <w:pPr>
        <w:tabs>
          <w:tab w:val="num" w:pos="283"/>
        </w:tabs>
        <w:ind w:left="283" w:firstLine="2211"/>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0795221D"/>
    <w:multiLevelType w:val="hybridMultilevel"/>
    <w:tmpl w:val="E43EC73A"/>
    <w:lvl w:ilvl="0" w:tplc="DBF61488">
      <w:start w:val="6"/>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740011"/>
    <w:multiLevelType w:val="hybridMultilevel"/>
    <w:tmpl w:val="6C00C9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7192DA7"/>
    <w:multiLevelType w:val="hybridMultilevel"/>
    <w:tmpl w:val="E34A416E"/>
    <w:lvl w:ilvl="0" w:tplc="A468DD78">
      <w:numFmt w:val="bullet"/>
      <w:lvlText w:val="-"/>
      <w:lvlJc w:val="left"/>
      <w:pPr>
        <w:ind w:left="720" w:hanging="360"/>
      </w:pPr>
      <w:rPr>
        <w:rFonts w:ascii="Calibri" w:eastAsiaTheme="minorHAnsi" w:hAnsi="Calibri" w:cstheme="minorBid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6813C9"/>
    <w:multiLevelType w:val="hybridMultilevel"/>
    <w:tmpl w:val="B11637E6"/>
    <w:lvl w:ilvl="0" w:tplc="CEF641F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59521E"/>
    <w:multiLevelType w:val="hybridMultilevel"/>
    <w:tmpl w:val="CBC4D72A"/>
    <w:lvl w:ilvl="0" w:tplc="2CBEE6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C51517"/>
    <w:multiLevelType w:val="hybridMultilevel"/>
    <w:tmpl w:val="CB62E8BE"/>
    <w:lvl w:ilvl="0" w:tplc="040C000D">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3E"/>
    <w:rsid w:val="00016575"/>
    <w:rsid w:val="00063AB3"/>
    <w:rsid w:val="000D5553"/>
    <w:rsid w:val="000F76AA"/>
    <w:rsid w:val="0010107C"/>
    <w:rsid w:val="00220216"/>
    <w:rsid w:val="00223123"/>
    <w:rsid w:val="00250225"/>
    <w:rsid w:val="002E2938"/>
    <w:rsid w:val="0037089D"/>
    <w:rsid w:val="003B1DE7"/>
    <w:rsid w:val="003E1E41"/>
    <w:rsid w:val="003F5E5C"/>
    <w:rsid w:val="004224C9"/>
    <w:rsid w:val="00446BF4"/>
    <w:rsid w:val="004B6DB5"/>
    <w:rsid w:val="005221A3"/>
    <w:rsid w:val="00533AB0"/>
    <w:rsid w:val="00591A52"/>
    <w:rsid w:val="005A27E5"/>
    <w:rsid w:val="005A7526"/>
    <w:rsid w:val="005B5953"/>
    <w:rsid w:val="005E5BEB"/>
    <w:rsid w:val="00621202"/>
    <w:rsid w:val="00675745"/>
    <w:rsid w:val="006D37ED"/>
    <w:rsid w:val="00764653"/>
    <w:rsid w:val="007B22D2"/>
    <w:rsid w:val="007F6F9C"/>
    <w:rsid w:val="008152F1"/>
    <w:rsid w:val="008A1F8C"/>
    <w:rsid w:val="008B1022"/>
    <w:rsid w:val="008D0176"/>
    <w:rsid w:val="008E07A7"/>
    <w:rsid w:val="008F75C8"/>
    <w:rsid w:val="0090322C"/>
    <w:rsid w:val="00923650"/>
    <w:rsid w:val="00934653"/>
    <w:rsid w:val="009B377E"/>
    <w:rsid w:val="009D1348"/>
    <w:rsid w:val="009F31E9"/>
    <w:rsid w:val="00AA033E"/>
    <w:rsid w:val="00AA7CDA"/>
    <w:rsid w:val="00AC7819"/>
    <w:rsid w:val="00AE5D07"/>
    <w:rsid w:val="00BE0B39"/>
    <w:rsid w:val="00C16379"/>
    <w:rsid w:val="00C23EC8"/>
    <w:rsid w:val="00C41A56"/>
    <w:rsid w:val="00C669B8"/>
    <w:rsid w:val="00C869B1"/>
    <w:rsid w:val="00C97EDF"/>
    <w:rsid w:val="00CB5F28"/>
    <w:rsid w:val="00CC4A57"/>
    <w:rsid w:val="00D22550"/>
    <w:rsid w:val="00D71A63"/>
    <w:rsid w:val="00D752EA"/>
    <w:rsid w:val="00D82F7B"/>
    <w:rsid w:val="00DE2146"/>
    <w:rsid w:val="00E414C4"/>
    <w:rsid w:val="00E63F88"/>
    <w:rsid w:val="00EA38B7"/>
    <w:rsid w:val="00EF6EDA"/>
    <w:rsid w:val="00FA663C"/>
    <w:rsid w:val="00FD475E"/>
    <w:rsid w:val="00FD5F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03214C-D2F1-4790-9CC3-2579C088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A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033E"/>
    <w:pPr>
      <w:ind w:left="720"/>
      <w:contextualSpacing/>
    </w:pPr>
  </w:style>
  <w:style w:type="paragraph" w:customStyle="1" w:styleId="Default">
    <w:name w:val="Default"/>
    <w:rsid w:val="000F76A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D1348"/>
    <w:rPr>
      <w:color w:val="0000FF" w:themeColor="hyperlink"/>
      <w:u w:val="single"/>
    </w:rPr>
  </w:style>
  <w:style w:type="paragraph" w:styleId="Textedebulles">
    <w:name w:val="Balloon Text"/>
    <w:basedOn w:val="Normal"/>
    <w:link w:val="TextedebullesCar"/>
    <w:uiPriority w:val="99"/>
    <w:semiHidden/>
    <w:unhideWhenUsed/>
    <w:rsid w:val="00C163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379"/>
    <w:rPr>
      <w:rFonts w:ascii="Tahoma" w:hAnsi="Tahoma" w:cs="Tahoma"/>
      <w:sz w:val="16"/>
      <w:szCs w:val="16"/>
    </w:rPr>
  </w:style>
  <w:style w:type="character" w:styleId="Marquedecommentaire">
    <w:name w:val="annotation reference"/>
    <w:basedOn w:val="Policepardfaut"/>
    <w:uiPriority w:val="99"/>
    <w:semiHidden/>
    <w:unhideWhenUsed/>
    <w:rsid w:val="00C16379"/>
    <w:rPr>
      <w:sz w:val="16"/>
      <w:szCs w:val="16"/>
    </w:rPr>
  </w:style>
  <w:style w:type="paragraph" w:styleId="Commentaire">
    <w:name w:val="annotation text"/>
    <w:basedOn w:val="Normal"/>
    <w:link w:val="CommentaireCar"/>
    <w:uiPriority w:val="99"/>
    <w:semiHidden/>
    <w:unhideWhenUsed/>
    <w:rsid w:val="00C16379"/>
    <w:pPr>
      <w:spacing w:line="240" w:lineRule="auto"/>
    </w:pPr>
    <w:rPr>
      <w:sz w:val="20"/>
      <w:szCs w:val="20"/>
    </w:rPr>
  </w:style>
  <w:style w:type="character" w:customStyle="1" w:styleId="CommentaireCar">
    <w:name w:val="Commentaire Car"/>
    <w:basedOn w:val="Policepardfaut"/>
    <w:link w:val="Commentaire"/>
    <w:uiPriority w:val="99"/>
    <w:semiHidden/>
    <w:rsid w:val="00C16379"/>
    <w:rPr>
      <w:sz w:val="20"/>
      <w:szCs w:val="20"/>
    </w:rPr>
  </w:style>
  <w:style w:type="paragraph" w:styleId="Objetducommentaire">
    <w:name w:val="annotation subject"/>
    <w:basedOn w:val="Commentaire"/>
    <w:next w:val="Commentaire"/>
    <w:link w:val="ObjetducommentaireCar"/>
    <w:uiPriority w:val="99"/>
    <w:semiHidden/>
    <w:unhideWhenUsed/>
    <w:rsid w:val="00C16379"/>
    <w:rPr>
      <w:b/>
      <w:bCs/>
    </w:rPr>
  </w:style>
  <w:style w:type="character" w:customStyle="1" w:styleId="ObjetducommentaireCar">
    <w:name w:val="Objet du commentaire Car"/>
    <w:basedOn w:val="CommentaireCar"/>
    <w:link w:val="Objetducommentaire"/>
    <w:uiPriority w:val="99"/>
    <w:semiHidden/>
    <w:rsid w:val="00C16379"/>
    <w:rPr>
      <w:b/>
      <w:bCs/>
      <w:sz w:val="20"/>
      <w:szCs w:val="20"/>
    </w:rPr>
  </w:style>
  <w:style w:type="paragraph" w:styleId="En-tte">
    <w:name w:val="header"/>
    <w:basedOn w:val="Normal"/>
    <w:link w:val="En-tteCar"/>
    <w:uiPriority w:val="99"/>
    <w:unhideWhenUsed/>
    <w:rsid w:val="008152F1"/>
    <w:pPr>
      <w:tabs>
        <w:tab w:val="center" w:pos="4536"/>
        <w:tab w:val="right" w:pos="9072"/>
      </w:tabs>
      <w:spacing w:after="0" w:line="240" w:lineRule="auto"/>
    </w:pPr>
  </w:style>
  <w:style w:type="character" w:customStyle="1" w:styleId="En-tteCar">
    <w:name w:val="En-tête Car"/>
    <w:basedOn w:val="Policepardfaut"/>
    <w:link w:val="En-tte"/>
    <w:uiPriority w:val="99"/>
    <w:rsid w:val="008152F1"/>
  </w:style>
  <w:style w:type="paragraph" w:styleId="Pieddepage">
    <w:name w:val="footer"/>
    <w:basedOn w:val="Normal"/>
    <w:link w:val="PieddepageCar"/>
    <w:uiPriority w:val="99"/>
    <w:unhideWhenUsed/>
    <w:rsid w:val="00815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52F1"/>
  </w:style>
  <w:style w:type="paragraph" w:customStyle="1" w:styleId="Formatlibre">
    <w:name w:val="Format libre"/>
    <w:rsid w:val="004B6DB5"/>
    <w:pPr>
      <w:spacing w:after="0" w:line="240" w:lineRule="auto"/>
      <w:jc w:val="both"/>
    </w:pPr>
    <w:rPr>
      <w:rFonts w:ascii="Times New Roman" w:eastAsia="ヒラギノ角ゴ Pro W3" w:hAnsi="Times New Roman" w:cs="Times New Roman"/>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5009">
      <w:bodyDiv w:val="1"/>
      <w:marLeft w:val="0"/>
      <w:marRight w:val="0"/>
      <w:marTop w:val="0"/>
      <w:marBottom w:val="0"/>
      <w:divBdr>
        <w:top w:val="none" w:sz="0" w:space="0" w:color="auto"/>
        <w:left w:val="none" w:sz="0" w:space="0" w:color="auto"/>
        <w:bottom w:val="none" w:sz="0" w:space="0" w:color="auto"/>
        <w:right w:val="none" w:sz="0" w:space="0" w:color="auto"/>
      </w:divBdr>
    </w:div>
    <w:div w:id="1761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dsms@lespe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F266-0750-4D90-AF1B-8388F6B9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GATINEAU</dc:creator>
  <cp:lastModifiedBy>Isabelle MONFORTE</cp:lastModifiedBy>
  <cp:revision>2</cp:revision>
  <cp:lastPrinted>2016-12-23T09:55:00Z</cp:lastPrinted>
  <dcterms:created xsi:type="dcterms:W3CDTF">2017-01-02T15:17:00Z</dcterms:created>
  <dcterms:modified xsi:type="dcterms:W3CDTF">2017-01-02T15:17:00Z</dcterms:modified>
</cp:coreProperties>
</file>